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46D" w:rsidRPr="006C446D" w:rsidRDefault="006C446D" w:rsidP="006C446D">
      <w:pPr>
        <w:jc w:val="center"/>
        <w:rPr>
          <w:rFonts w:ascii="Gotham Book" w:hAnsi="Gotham Book"/>
          <w:color w:val="FFC000"/>
          <w:sz w:val="14"/>
        </w:rPr>
      </w:pPr>
    </w:p>
    <w:p w:rsidR="006C446D" w:rsidRPr="006C446D" w:rsidRDefault="006C446D" w:rsidP="006C446D">
      <w:pPr>
        <w:jc w:val="center"/>
        <w:rPr>
          <w:rFonts w:ascii="Gotham Book" w:hAnsi="Gotham Book"/>
          <w:color w:val="FFC000"/>
          <w:sz w:val="24"/>
        </w:rPr>
      </w:pPr>
      <w:r w:rsidRPr="006C446D">
        <w:rPr>
          <w:rFonts w:ascii="Gotham Book" w:hAnsi="Gotham Book"/>
          <w:color w:val="FFC000"/>
          <w:sz w:val="24"/>
        </w:rPr>
        <w:t>TASAS Y TARIFAS DEL IMPUESTO PREDIAL</w:t>
      </w:r>
    </w:p>
    <w:p w:rsidR="006C446D" w:rsidRPr="001C3BBF" w:rsidRDefault="006C446D" w:rsidP="006C446D">
      <w:pPr>
        <w:spacing w:after="0" w:line="240" w:lineRule="auto"/>
        <w:jc w:val="center"/>
        <w:rPr>
          <w:rFonts w:ascii="Gotham Book" w:hAnsi="Gotham Book" w:cs="Arial"/>
          <w:b/>
          <w:sz w:val="19"/>
          <w:szCs w:val="19"/>
        </w:rPr>
      </w:pPr>
      <w:r w:rsidRPr="001C3BBF">
        <w:rPr>
          <w:rFonts w:ascii="Gotham Book" w:hAnsi="Gotham Book" w:cs="Arial"/>
          <w:b/>
          <w:sz w:val="19"/>
          <w:szCs w:val="19"/>
        </w:rPr>
        <w:t>Ley de Ingresos del Municipio de Corregidora Querétaro para el ejercicio fiscal 2020.</w:t>
      </w:r>
    </w:p>
    <w:p w:rsidR="006C446D" w:rsidRPr="001C3BBF" w:rsidRDefault="006C446D" w:rsidP="006C446D">
      <w:pPr>
        <w:spacing w:after="0" w:line="240" w:lineRule="auto"/>
        <w:jc w:val="both"/>
        <w:rPr>
          <w:rFonts w:ascii="Gotham Book" w:hAnsi="Gotham Book" w:cs="Arial"/>
          <w:b/>
          <w:sz w:val="19"/>
          <w:szCs w:val="19"/>
        </w:rPr>
      </w:pPr>
    </w:p>
    <w:p w:rsidR="006C446D" w:rsidRPr="001C3BBF" w:rsidRDefault="006C446D" w:rsidP="006C446D">
      <w:pPr>
        <w:spacing w:after="0" w:line="240" w:lineRule="auto"/>
        <w:jc w:val="both"/>
        <w:rPr>
          <w:rFonts w:ascii="Gotham Book" w:hAnsi="Gotham Book" w:cs="Arial"/>
          <w:sz w:val="19"/>
          <w:szCs w:val="19"/>
        </w:rPr>
      </w:pPr>
      <w:r w:rsidRPr="001C3BBF">
        <w:rPr>
          <w:rFonts w:ascii="Gotham Book" w:hAnsi="Gotham Book" w:cs="Arial"/>
          <w:b/>
          <w:sz w:val="19"/>
          <w:szCs w:val="19"/>
        </w:rPr>
        <w:t>Artículo 13.</w:t>
      </w:r>
      <w:r w:rsidRPr="001C3BBF">
        <w:rPr>
          <w:rFonts w:ascii="Gotham Book" w:hAnsi="Gotham Book" w:cs="Arial"/>
          <w:sz w:val="19"/>
          <w:szCs w:val="19"/>
        </w:rPr>
        <w:t xml:space="preserve"> El Impuesto Predial se determinará y causará de acuerdo a los elementos siguientes:</w:t>
      </w:r>
    </w:p>
    <w:p w:rsidR="006C446D" w:rsidRPr="001C3BBF" w:rsidRDefault="006C446D" w:rsidP="006C446D">
      <w:pPr>
        <w:spacing w:after="0" w:line="240" w:lineRule="auto"/>
        <w:ind w:hanging="34"/>
        <w:jc w:val="both"/>
        <w:rPr>
          <w:rFonts w:ascii="Gotham Book" w:hAnsi="Gotham Book" w:cs="Arial"/>
          <w:sz w:val="19"/>
          <w:szCs w:val="19"/>
        </w:rPr>
      </w:pPr>
    </w:p>
    <w:p w:rsidR="006C446D" w:rsidRPr="001C3BBF" w:rsidRDefault="006C446D" w:rsidP="006C446D">
      <w:pPr>
        <w:pStyle w:val="Prrafodelista"/>
        <w:numPr>
          <w:ilvl w:val="0"/>
          <w:numId w:val="1"/>
        </w:numPr>
        <w:spacing w:after="0" w:line="240" w:lineRule="auto"/>
        <w:jc w:val="both"/>
        <w:rPr>
          <w:rFonts w:ascii="Gotham Book" w:hAnsi="Gotham Book" w:cs="Arial"/>
          <w:sz w:val="19"/>
          <w:szCs w:val="19"/>
        </w:rPr>
      </w:pPr>
      <w:r w:rsidRPr="001C3BBF">
        <w:rPr>
          <w:rFonts w:ascii="Gotham Book" w:hAnsi="Gotham Book" w:cs="Arial"/>
          <w:sz w:val="19"/>
          <w:szCs w:val="19"/>
        </w:rPr>
        <w:t>Es objeto del impuesto predial, la propiedad, la copropiedad, la propiedad en condominio, la copropiedad en condominio, la posesión y la coposesión de todo predio ubicado dentro del territorio del Municipio de Corregidora, Querétaro.</w:t>
      </w:r>
    </w:p>
    <w:p w:rsidR="006C446D" w:rsidRPr="001C3BBF" w:rsidRDefault="006C446D" w:rsidP="006C446D">
      <w:pPr>
        <w:pStyle w:val="Prrafodelista"/>
        <w:spacing w:after="0" w:line="240" w:lineRule="auto"/>
        <w:jc w:val="both"/>
        <w:rPr>
          <w:rFonts w:ascii="Gotham Book" w:hAnsi="Gotham Book" w:cs="Arial"/>
          <w:sz w:val="19"/>
          <w:szCs w:val="19"/>
        </w:rPr>
      </w:pPr>
    </w:p>
    <w:p w:rsidR="006C446D" w:rsidRPr="001C3BBF" w:rsidRDefault="006C446D" w:rsidP="006C446D">
      <w:pPr>
        <w:pStyle w:val="Prrafodelista"/>
        <w:numPr>
          <w:ilvl w:val="0"/>
          <w:numId w:val="1"/>
        </w:numPr>
        <w:spacing w:after="0" w:line="240" w:lineRule="auto"/>
        <w:jc w:val="both"/>
        <w:rPr>
          <w:rFonts w:ascii="Gotham Book" w:hAnsi="Gotham Book" w:cs="Arial"/>
          <w:sz w:val="19"/>
          <w:szCs w:val="19"/>
        </w:rPr>
      </w:pPr>
      <w:r w:rsidRPr="001C3BBF">
        <w:rPr>
          <w:rFonts w:ascii="Gotham Book" w:hAnsi="Gotham Book" w:cs="Arial"/>
          <w:sz w:val="19"/>
          <w:szCs w:val="19"/>
        </w:rPr>
        <w:t>Son sujetos obligados de este impuesto los titulares del derecho de propiedad y de propiedad en condominio, los titulares del derecho de copropiedad y de copropiedad en condominio, quienes serán considerados como un solo sujeto, los poseedores y coposeedores, quienes serán considerados como un solo sujeto, el fideicomitente que conserve la posesión o el fiduciario, siempre que éste último no transmita la propiedad en ejecución del fideicomiso, los propietarios de las construcciones ubicadas en zonas urbanas ejidales, los propietarios de las construcciones ubicadas en fundos legales, el adquiriente, cuando no sea poseedor, en caso de compraventa con reserva de dominio, mientras ésta subsista; y el vendedor que no haya otorgado la posesión, en caso de compraventa celebrada bajo condición, mientras ésta no se realice.</w:t>
      </w:r>
    </w:p>
    <w:p w:rsidR="006C446D" w:rsidRPr="001C3BBF" w:rsidRDefault="006C446D" w:rsidP="006C446D">
      <w:pPr>
        <w:pStyle w:val="Prrafodelista"/>
        <w:spacing w:after="0" w:line="240" w:lineRule="auto"/>
        <w:jc w:val="both"/>
        <w:rPr>
          <w:rFonts w:ascii="Gotham Book" w:hAnsi="Gotham Book" w:cs="Arial"/>
          <w:sz w:val="19"/>
          <w:szCs w:val="19"/>
        </w:rPr>
      </w:pPr>
    </w:p>
    <w:p w:rsidR="006C446D" w:rsidRPr="001C3BBF" w:rsidRDefault="006C446D" w:rsidP="006C446D">
      <w:pPr>
        <w:pStyle w:val="Prrafodelista"/>
        <w:spacing w:after="0" w:line="240" w:lineRule="auto"/>
        <w:jc w:val="both"/>
        <w:rPr>
          <w:rFonts w:ascii="Gotham Book" w:hAnsi="Gotham Book" w:cs="Arial"/>
          <w:sz w:val="19"/>
          <w:szCs w:val="19"/>
        </w:rPr>
      </w:pPr>
      <w:r w:rsidRPr="001C3BBF">
        <w:rPr>
          <w:rFonts w:ascii="Gotham Book" w:hAnsi="Gotham Book" w:cs="Arial"/>
          <w:sz w:val="19"/>
          <w:szCs w:val="19"/>
        </w:rPr>
        <w:t>Se presume, para los efectos de este impuesto, salvo prueba en contrario, que el propietario del suelo, lo es también de las construcciones.</w:t>
      </w:r>
    </w:p>
    <w:p w:rsidR="006C446D" w:rsidRPr="001C3BBF" w:rsidRDefault="006C446D" w:rsidP="006C446D">
      <w:pPr>
        <w:pStyle w:val="Prrafodelista"/>
        <w:spacing w:after="0" w:line="240" w:lineRule="auto"/>
        <w:jc w:val="both"/>
        <w:rPr>
          <w:rFonts w:ascii="Gotham Book" w:hAnsi="Gotham Book" w:cs="Arial"/>
          <w:sz w:val="19"/>
          <w:szCs w:val="19"/>
        </w:rPr>
      </w:pPr>
    </w:p>
    <w:p w:rsidR="006C446D" w:rsidRPr="001C3BBF" w:rsidRDefault="006C446D" w:rsidP="006C446D">
      <w:pPr>
        <w:pStyle w:val="Prrafodelista"/>
        <w:numPr>
          <w:ilvl w:val="0"/>
          <w:numId w:val="1"/>
        </w:numPr>
        <w:spacing w:after="0" w:line="240" w:lineRule="auto"/>
        <w:jc w:val="both"/>
        <w:rPr>
          <w:rFonts w:ascii="Gotham Book" w:hAnsi="Gotham Book" w:cs="Arial"/>
          <w:sz w:val="19"/>
          <w:szCs w:val="19"/>
        </w:rPr>
      </w:pPr>
      <w:r w:rsidRPr="001C3BBF">
        <w:rPr>
          <w:rFonts w:ascii="Gotham Book" w:hAnsi="Gotham Book" w:cs="Arial"/>
          <w:sz w:val="19"/>
          <w:szCs w:val="19"/>
        </w:rPr>
        <w:t>Para el cálculo del impuesto predial, se considera como base, el valor catastral asignado al bien inmueble correspondiente, mismo que se compone de la suma del valor de terreno más el valor de las construcciones, el cual es determinado por la dependencia del Catastro correspondiente, conforme a la Ley de la materia.</w:t>
      </w:r>
    </w:p>
    <w:p w:rsidR="006C446D" w:rsidRPr="001C3BBF" w:rsidRDefault="006C446D" w:rsidP="006C446D">
      <w:pPr>
        <w:pStyle w:val="Prrafodelista"/>
        <w:spacing w:after="0" w:line="240" w:lineRule="auto"/>
        <w:jc w:val="both"/>
        <w:rPr>
          <w:rFonts w:ascii="Gotham Book" w:hAnsi="Gotham Book" w:cs="Arial"/>
          <w:sz w:val="19"/>
          <w:szCs w:val="19"/>
        </w:rPr>
      </w:pPr>
    </w:p>
    <w:p w:rsidR="006C446D" w:rsidRPr="001C3BBF" w:rsidRDefault="006C446D" w:rsidP="006C446D">
      <w:pPr>
        <w:pStyle w:val="Prrafodelista"/>
        <w:spacing w:after="0" w:line="240" w:lineRule="auto"/>
        <w:jc w:val="both"/>
        <w:rPr>
          <w:rFonts w:ascii="Gotham Book" w:hAnsi="Gotham Book" w:cs="Arial"/>
          <w:sz w:val="19"/>
          <w:szCs w:val="19"/>
        </w:rPr>
      </w:pPr>
      <w:r w:rsidRPr="001C3BBF">
        <w:rPr>
          <w:rFonts w:ascii="Gotham Book" w:hAnsi="Gotham Book" w:cs="Arial"/>
          <w:sz w:val="19"/>
          <w:szCs w:val="19"/>
        </w:rPr>
        <w:t>Dicho valor se toma en cuenta siempre que el contribuyente no opte por presentar ante la autoridad encargada de las finanzas públicas municipales, el valor comercial del inmueble mediante avalúo efectuado por Perito Valuador autorizado por la Ley o por la autoridad competente.</w:t>
      </w:r>
    </w:p>
    <w:p w:rsidR="006C446D" w:rsidRPr="001C3BBF" w:rsidRDefault="006C446D" w:rsidP="006C446D">
      <w:pPr>
        <w:pStyle w:val="Prrafodelista"/>
        <w:spacing w:after="0" w:line="240" w:lineRule="auto"/>
        <w:jc w:val="both"/>
        <w:rPr>
          <w:rFonts w:ascii="Gotham Book" w:hAnsi="Gotham Book" w:cs="Arial"/>
          <w:sz w:val="19"/>
          <w:szCs w:val="19"/>
        </w:rPr>
      </w:pPr>
    </w:p>
    <w:p w:rsidR="006C446D" w:rsidRPr="001C3BBF" w:rsidRDefault="006C446D" w:rsidP="006C446D">
      <w:pPr>
        <w:pStyle w:val="Prrafodelista"/>
        <w:spacing w:after="0" w:line="240" w:lineRule="auto"/>
        <w:jc w:val="both"/>
        <w:rPr>
          <w:rFonts w:ascii="Gotham Book" w:hAnsi="Gotham Book" w:cs="Arial"/>
          <w:sz w:val="19"/>
          <w:szCs w:val="19"/>
        </w:rPr>
      </w:pPr>
      <w:r w:rsidRPr="001C3BBF">
        <w:rPr>
          <w:rFonts w:ascii="Gotham Book" w:hAnsi="Gotham Book" w:cs="Arial"/>
          <w:sz w:val="19"/>
          <w:szCs w:val="19"/>
        </w:rPr>
        <w:t>De no presentar el contribuyente el valor comercial del inmueble dentro del primer bimestre del ejercicio fiscal que corresponda, se entenderá conforme con el valor catastral designado.</w:t>
      </w:r>
    </w:p>
    <w:p w:rsidR="006C446D" w:rsidRPr="001C3BBF" w:rsidRDefault="006C446D" w:rsidP="006C446D">
      <w:pPr>
        <w:pStyle w:val="Prrafodelista"/>
        <w:spacing w:after="0" w:line="240" w:lineRule="auto"/>
        <w:jc w:val="both"/>
        <w:rPr>
          <w:rFonts w:ascii="Gotham Book" w:hAnsi="Gotham Book" w:cs="Arial"/>
          <w:sz w:val="19"/>
          <w:szCs w:val="19"/>
        </w:rPr>
      </w:pPr>
    </w:p>
    <w:p w:rsidR="006C446D" w:rsidRPr="001C3BBF" w:rsidRDefault="006C446D" w:rsidP="006C446D">
      <w:pPr>
        <w:pStyle w:val="Prrafodelista"/>
        <w:spacing w:after="0" w:line="240" w:lineRule="auto"/>
        <w:jc w:val="both"/>
        <w:rPr>
          <w:rFonts w:ascii="Gotham Book" w:hAnsi="Gotham Book" w:cs="Arial"/>
          <w:sz w:val="19"/>
          <w:szCs w:val="19"/>
        </w:rPr>
      </w:pPr>
      <w:r w:rsidRPr="001C3BBF">
        <w:rPr>
          <w:rFonts w:ascii="Gotham Book" w:hAnsi="Gotham Book" w:cs="Arial"/>
          <w:sz w:val="19"/>
          <w:szCs w:val="19"/>
        </w:rPr>
        <w:t xml:space="preserve">Los Valores Unitarios de Suelo y Construcción para el ejercicio fiscal 2020, serán los propuestos por el Ayuntamiento del Municipio de Corregidora, Querétaro, aprobados por la Legislatura del Estado y publicados en el Periódico Oficial del Gobierno del Estado de Querétaro “La Sombra de Arteaga”. </w:t>
      </w:r>
    </w:p>
    <w:p w:rsidR="006C446D" w:rsidRPr="001C3BBF" w:rsidRDefault="006C446D" w:rsidP="006C446D">
      <w:pPr>
        <w:pStyle w:val="Prrafodelista"/>
        <w:spacing w:after="0" w:line="240" w:lineRule="auto"/>
        <w:jc w:val="both"/>
        <w:rPr>
          <w:rFonts w:ascii="Gotham Book" w:hAnsi="Gotham Book" w:cs="Arial"/>
          <w:sz w:val="19"/>
          <w:szCs w:val="19"/>
        </w:rPr>
      </w:pPr>
    </w:p>
    <w:p w:rsidR="006C446D" w:rsidRPr="001C3BBF" w:rsidRDefault="006C446D" w:rsidP="006C446D">
      <w:pPr>
        <w:pStyle w:val="Prrafodelista"/>
        <w:numPr>
          <w:ilvl w:val="0"/>
          <w:numId w:val="1"/>
        </w:numPr>
        <w:spacing w:after="0" w:line="240" w:lineRule="auto"/>
        <w:jc w:val="both"/>
        <w:rPr>
          <w:rFonts w:ascii="Gotham Book" w:hAnsi="Gotham Book" w:cs="Arial"/>
          <w:sz w:val="19"/>
          <w:szCs w:val="19"/>
        </w:rPr>
      </w:pPr>
      <w:r w:rsidRPr="001C3BBF">
        <w:rPr>
          <w:rFonts w:ascii="Gotham Book" w:hAnsi="Gotham Book" w:cs="Arial"/>
          <w:sz w:val="19"/>
          <w:szCs w:val="19"/>
        </w:rPr>
        <w:t xml:space="preserve">El impuesto predial se causa por bimestre; para los efectos de esta Ley, el año de calendario se divide en bimestres; debiendo realizar el pago por bimestres vencidos, a más tardar el día quince de los meses de marzo, mayo, julio, septiembre, noviembre y enero, salvo que durante dicho plazo se pretenda enajenar el predio o transmitir su </w:t>
      </w:r>
      <w:r w:rsidRPr="001C3BBF">
        <w:rPr>
          <w:rFonts w:ascii="Gotham Book" w:hAnsi="Gotham Book" w:cs="Arial"/>
          <w:sz w:val="19"/>
          <w:szCs w:val="19"/>
        </w:rPr>
        <w:lastRenderedPageBreak/>
        <w:t>posesión, caso en el cual se hará anticipadamente a más tardar en la fecha de enajenación o transmisión de la posesión.</w:t>
      </w:r>
    </w:p>
    <w:p w:rsidR="006C446D" w:rsidRPr="001C3BBF" w:rsidRDefault="006C446D" w:rsidP="006C446D">
      <w:pPr>
        <w:spacing w:after="0" w:line="240" w:lineRule="auto"/>
        <w:ind w:hanging="34"/>
        <w:jc w:val="both"/>
        <w:rPr>
          <w:rFonts w:ascii="Gotham Book" w:hAnsi="Gotham Book" w:cs="Arial"/>
          <w:sz w:val="19"/>
          <w:szCs w:val="19"/>
        </w:rPr>
      </w:pPr>
    </w:p>
    <w:tbl>
      <w:tblPr>
        <w:tblStyle w:val="Tablaconcuadrcula"/>
        <w:tblW w:w="5000" w:type="pct"/>
        <w:tblLayout w:type="fixed"/>
        <w:tblLook w:val="04A0" w:firstRow="1" w:lastRow="0" w:firstColumn="1" w:lastColumn="0" w:noHBand="0" w:noVBand="1"/>
      </w:tblPr>
      <w:tblGrid>
        <w:gridCol w:w="2944"/>
        <w:gridCol w:w="2943"/>
        <w:gridCol w:w="2941"/>
      </w:tblGrid>
      <w:tr w:rsidR="006C446D" w:rsidRPr="001C3BBF" w:rsidTr="003B2012">
        <w:tc>
          <w:tcPr>
            <w:tcW w:w="1667" w:type="pc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6C446D" w:rsidRPr="001C3BBF" w:rsidRDefault="006C446D" w:rsidP="003B2012">
            <w:pPr>
              <w:jc w:val="center"/>
              <w:rPr>
                <w:rFonts w:ascii="Gotham Book" w:eastAsia="Calibri" w:hAnsi="Gotham Book" w:cs="Arial"/>
                <w:b/>
                <w:sz w:val="19"/>
                <w:szCs w:val="19"/>
              </w:rPr>
            </w:pPr>
            <w:r w:rsidRPr="001C3BBF">
              <w:rPr>
                <w:rFonts w:ascii="Gotham Book" w:eastAsia="Calibri" w:hAnsi="Gotham Book" w:cs="Arial"/>
                <w:b/>
                <w:sz w:val="19"/>
                <w:szCs w:val="19"/>
              </w:rPr>
              <w:t>BIMESTRES</w:t>
            </w:r>
          </w:p>
        </w:tc>
        <w:tc>
          <w:tcPr>
            <w:tcW w:w="1667" w:type="pc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6C446D" w:rsidRPr="001C3BBF" w:rsidRDefault="006C446D" w:rsidP="003B2012">
            <w:pPr>
              <w:jc w:val="center"/>
              <w:rPr>
                <w:rFonts w:ascii="Gotham Book" w:eastAsia="Calibri" w:hAnsi="Gotham Book" w:cs="Arial"/>
                <w:b/>
                <w:sz w:val="19"/>
                <w:szCs w:val="19"/>
              </w:rPr>
            </w:pPr>
            <w:r w:rsidRPr="001C3BBF">
              <w:rPr>
                <w:rFonts w:ascii="Gotham Book" w:eastAsia="Calibri" w:hAnsi="Gotham Book" w:cs="Arial"/>
                <w:b/>
                <w:sz w:val="19"/>
                <w:szCs w:val="19"/>
              </w:rPr>
              <w:t>PERIODO</w:t>
            </w:r>
          </w:p>
        </w:tc>
        <w:tc>
          <w:tcPr>
            <w:tcW w:w="1666" w:type="pc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6C446D" w:rsidRPr="001C3BBF" w:rsidRDefault="006C446D" w:rsidP="003B2012">
            <w:pPr>
              <w:jc w:val="center"/>
              <w:rPr>
                <w:rFonts w:ascii="Gotham Book" w:eastAsia="Calibri" w:hAnsi="Gotham Book" w:cs="Arial"/>
                <w:b/>
                <w:sz w:val="19"/>
                <w:szCs w:val="19"/>
              </w:rPr>
            </w:pPr>
            <w:r w:rsidRPr="001C3BBF">
              <w:rPr>
                <w:rFonts w:ascii="Gotham Book" w:eastAsia="Calibri" w:hAnsi="Gotham Book" w:cs="Arial"/>
                <w:b/>
                <w:sz w:val="19"/>
                <w:szCs w:val="19"/>
              </w:rPr>
              <w:t>VENCIMIENTO</w:t>
            </w:r>
          </w:p>
        </w:tc>
      </w:tr>
      <w:tr w:rsidR="006C446D" w:rsidRPr="001C3BBF" w:rsidTr="003B2012">
        <w:tc>
          <w:tcPr>
            <w:tcW w:w="1667" w:type="pct"/>
            <w:tcBorders>
              <w:top w:val="single" w:sz="4" w:space="0" w:color="auto"/>
              <w:left w:val="single" w:sz="4" w:space="0" w:color="auto"/>
              <w:bottom w:val="single" w:sz="4" w:space="0" w:color="auto"/>
              <w:right w:val="single" w:sz="4" w:space="0" w:color="auto"/>
            </w:tcBorders>
            <w:hideMark/>
          </w:tcPr>
          <w:p w:rsidR="006C446D" w:rsidRPr="001C3BBF" w:rsidRDefault="006C446D" w:rsidP="003B2012">
            <w:pPr>
              <w:jc w:val="center"/>
              <w:rPr>
                <w:rFonts w:ascii="Gotham Book" w:hAnsi="Gotham Book" w:cs="Arial"/>
                <w:sz w:val="19"/>
                <w:szCs w:val="19"/>
              </w:rPr>
            </w:pPr>
            <w:r w:rsidRPr="001C3BBF">
              <w:rPr>
                <w:rFonts w:ascii="Gotham Book" w:hAnsi="Gotham Book" w:cs="Arial"/>
                <w:sz w:val="19"/>
                <w:szCs w:val="19"/>
              </w:rPr>
              <w:t>1°</w:t>
            </w:r>
          </w:p>
        </w:tc>
        <w:tc>
          <w:tcPr>
            <w:tcW w:w="1667" w:type="pct"/>
            <w:tcBorders>
              <w:top w:val="single" w:sz="4" w:space="0" w:color="auto"/>
              <w:left w:val="single" w:sz="4" w:space="0" w:color="auto"/>
              <w:bottom w:val="single" w:sz="4" w:space="0" w:color="auto"/>
              <w:right w:val="single" w:sz="4" w:space="0" w:color="auto"/>
            </w:tcBorders>
            <w:hideMark/>
          </w:tcPr>
          <w:p w:rsidR="006C446D" w:rsidRPr="001C3BBF" w:rsidRDefault="006C446D" w:rsidP="003B2012">
            <w:pPr>
              <w:jc w:val="center"/>
              <w:rPr>
                <w:rFonts w:ascii="Gotham Book" w:hAnsi="Gotham Book" w:cs="Arial"/>
                <w:sz w:val="19"/>
                <w:szCs w:val="19"/>
              </w:rPr>
            </w:pPr>
            <w:r w:rsidRPr="001C3BBF">
              <w:rPr>
                <w:rFonts w:ascii="Gotham Book" w:hAnsi="Gotham Book" w:cs="Arial"/>
                <w:sz w:val="19"/>
                <w:szCs w:val="19"/>
              </w:rPr>
              <w:t>enero y febrero</w:t>
            </w:r>
          </w:p>
        </w:tc>
        <w:tc>
          <w:tcPr>
            <w:tcW w:w="1666" w:type="pct"/>
            <w:tcBorders>
              <w:top w:val="single" w:sz="4" w:space="0" w:color="auto"/>
              <w:left w:val="single" w:sz="4" w:space="0" w:color="auto"/>
              <w:bottom w:val="single" w:sz="4" w:space="0" w:color="auto"/>
              <w:right w:val="single" w:sz="4" w:space="0" w:color="auto"/>
            </w:tcBorders>
            <w:hideMark/>
          </w:tcPr>
          <w:p w:rsidR="006C446D" w:rsidRPr="001C3BBF" w:rsidRDefault="006C446D" w:rsidP="003B2012">
            <w:pPr>
              <w:jc w:val="center"/>
              <w:rPr>
                <w:rFonts w:ascii="Gotham Book" w:hAnsi="Gotham Book" w:cs="Arial"/>
                <w:sz w:val="19"/>
                <w:szCs w:val="19"/>
              </w:rPr>
            </w:pPr>
            <w:r w:rsidRPr="001C3BBF">
              <w:rPr>
                <w:rFonts w:ascii="Gotham Book" w:hAnsi="Gotham Book" w:cs="Arial"/>
                <w:sz w:val="19"/>
                <w:szCs w:val="19"/>
              </w:rPr>
              <w:t>15 de marzo</w:t>
            </w:r>
          </w:p>
        </w:tc>
      </w:tr>
      <w:tr w:rsidR="006C446D" w:rsidRPr="001C3BBF" w:rsidTr="003B2012">
        <w:tc>
          <w:tcPr>
            <w:tcW w:w="1667" w:type="pct"/>
            <w:tcBorders>
              <w:top w:val="single" w:sz="4" w:space="0" w:color="auto"/>
              <w:left w:val="single" w:sz="4" w:space="0" w:color="auto"/>
              <w:bottom w:val="single" w:sz="4" w:space="0" w:color="auto"/>
              <w:right w:val="single" w:sz="4" w:space="0" w:color="auto"/>
            </w:tcBorders>
            <w:hideMark/>
          </w:tcPr>
          <w:p w:rsidR="006C446D" w:rsidRPr="001C3BBF" w:rsidRDefault="006C446D" w:rsidP="003B2012">
            <w:pPr>
              <w:jc w:val="center"/>
              <w:rPr>
                <w:rFonts w:ascii="Gotham Book" w:hAnsi="Gotham Book" w:cs="Arial"/>
                <w:sz w:val="19"/>
                <w:szCs w:val="19"/>
              </w:rPr>
            </w:pPr>
            <w:r w:rsidRPr="001C3BBF">
              <w:rPr>
                <w:rFonts w:ascii="Gotham Book" w:hAnsi="Gotham Book" w:cs="Arial"/>
                <w:sz w:val="19"/>
                <w:szCs w:val="19"/>
              </w:rPr>
              <w:t>2°</w:t>
            </w:r>
          </w:p>
        </w:tc>
        <w:tc>
          <w:tcPr>
            <w:tcW w:w="1667" w:type="pct"/>
            <w:tcBorders>
              <w:top w:val="single" w:sz="4" w:space="0" w:color="auto"/>
              <w:left w:val="single" w:sz="4" w:space="0" w:color="auto"/>
              <w:bottom w:val="single" w:sz="4" w:space="0" w:color="auto"/>
              <w:right w:val="single" w:sz="4" w:space="0" w:color="auto"/>
            </w:tcBorders>
            <w:hideMark/>
          </w:tcPr>
          <w:p w:rsidR="006C446D" w:rsidRPr="001C3BBF" w:rsidRDefault="006C446D" w:rsidP="003B2012">
            <w:pPr>
              <w:jc w:val="center"/>
              <w:rPr>
                <w:rFonts w:ascii="Gotham Book" w:hAnsi="Gotham Book" w:cs="Arial"/>
                <w:sz w:val="19"/>
                <w:szCs w:val="19"/>
              </w:rPr>
            </w:pPr>
            <w:r w:rsidRPr="001C3BBF">
              <w:rPr>
                <w:rFonts w:ascii="Gotham Book" w:hAnsi="Gotham Book" w:cs="Arial"/>
                <w:sz w:val="19"/>
                <w:szCs w:val="19"/>
              </w:rPr>
              <w:t>marzo y abril</w:t>
            </w:r>
          </w:p>
        </w:tc>
        <w:tc>
          <w:tcPr>
            <w:tcW w:w="1666" w:type="pct"/>
            <w:tcBorders>
              <w:top w:val="single" w:sz="4" w:space="0" w:color="auto"/>
              <w:left w:val="single" w:sz="4" w:space="0" w:color="auto"/>
              <w:bottom w:val="single" w:sz="4" w:space="0" w:color="auto"/>
              <w:right w:val="single" w:sz="4" w:space="0" w:color="auto"/>
            </w:tcBorders>
            <w:hideMark/>
          </w:tcPr>
          <w:p w:rsidR="006C446D" w:rsidRPr="001C3BBF" w:rsidRDefault="006C446D" w:rsidP="003B2012">
            <w:pPr>
              <w:jc w:val="center"/>
              <w:rPr>
                <w:rFonts w:ascii="Gotham Book" w:hAnsi="Gotham Book" w:cs="Arial"/>
                <w:sz w:val="19"/>
                <w:szCs w:val="19"/>
              </w:rPr>
            </w:pPr>
            <w:r w:rsidRPr="001C3BBF">
              <w:rPr>
                <w:rFonts w:ascii="Gotham Book" w:hAnsi="Gotham Book" w:cs="Arial"/>
                <w:sz w:val="19"/>
                <w:szCs w:val="19"/>
              </w:rPr>
              <w:t>15 de mayo</w:t>
            </w:r>
          </w:p>
        </w:tc>
      </w:tr>
      <w:tr w:rsidR="006C446D" w:rsidRPr="001C3BBF" w:rsidTr="003B2012">
        <w:tc>
          <w:tcPr>
            <w:tcW w:w="1667" w:type="pct"/>
            <w:tcBorders>
              <w:top w:val="single" w:sz="4" w:space="0" w:color="auto"/>
              <w:left w:val="single" w:sz="4" w:space="0" w:color="auto"/>
              <w:bottom w:val="single" w:sz="4" w:space="0" w:color="auto"/>
              <w:right w:val="single" w:sz="4" w:space="0" w:color="auto"/>
            </w:tcBorders>
            <w:hideMark/>
          </w:tcPr>
          <w:p w:rsidR="006C446D" w:rsidRPr="001C3BBF" w:rsidRDefault="006C446D" w:rsidP="003B2012">
            <w:pPr>
              <w:jc w:val="center"/>
              <w:rPr>
                <w:rFonts w:ascii="Gotham Book" w:hAnsi="Gotham Book" w:cs="Arial"/>
                <w:sz w:val="19"/>
                <w:szCs w:val="19"/>
              </w:rPr>
            </w:pPr>
            <w:r w:rsidRPr="001C3BBF">
              <w:rPr>
                <w:rFonts w:ascii="Gotham Book" w:hAnsi="Gotham Book" w:cs="Arial"/>
                <w:sz w:val="19"/>
                <w:szCs w:val="19"/>
              </w:rPr>
              <w:t>3°</w:t>
            </w:r>
          </w:p>
        </w:tc>
        <w:tc>
          <w:tcPr>
            <w:tcW w:w="1667" w:type="pct"/>
            <w:tcBorders>
              <w:top w:val="single" w:sz="4" w:space="0" w:color="auto"/>
              <w:left w:val="single" w:sz="4" w:space="0" w:color="auto"/>
              <w:bottom w:val="single" w:sz="4" w:space="0" w:color="auto"/>
              <w:right w:val="single" w:sz="4" w:space="0" w:color="auto"/>
            </w:tcBorders>
            <w:hideMark/>
          </w:tcPr>
          <w:p w:rsidR="006C446D" w:rsidRPr="001C3BBF" w:rsidRDefault="006C446D" w:rsidP="003B2012">
            <w:pPr>
              <w:jc w:val="center"/>
              <w:rPr>
                <w:rFonts w:ascii="Gotham Book" w:hAnsi="Gotham Book" w:cs="Arial"/>
                <w:sz w:val="19"/>
                <w:szCs w:val="19"/>
              </w:rPr>
            </w:pPr>
            <w:r w:rsidRPr="001C3BBF">
              <w:rPr>
                <w:rFonts w:ascii="Gotham Book" w:hAnsi="Gotham Book" w:cs="Arial"/>
                <w:sz w:val="19"/>
                <w:szCs w:val="19"/>
              </w:rPr>
              <w:t>mayo y junio</w:t>
            </w:r>
          </w:p>
        </w:tc>
        <w:tc>
          <w:tcPr>
            <w:tcW w:w="1666" w:type="pct"/>
            <w:tcBorders>
              <w:top w:val="single" w:sz="4" w:space="0" w:color="auto"/>
              <w:left w:val="single" w:sz="4" w:space="0" w:color="auto"/>
              <w:bottom w:val="single" w:sz="4" w:space="0" w:color="auto"/>
              <w:right w:val="single" w:sz="4" w:space="0" w:color="auto"/>
            </w:tcBorders>
            <w:hideMark/>
          </w:tcPr>
          <w:p w:rsidR="006C446D" w:rsidRPr="001C3BBF" w:rsidRDefault="006C446D" w:rsidP="003B2012">
            <w:pPr>
              <w:jc w:val="center"/>
              <w:rPr>
                <w:rFonts w:ascii="Gotham Book" w:hAnsi="Gotham Book" w:cs="Arial"/>
                <w:sz w:val="19"/>
                <w:szCs w:val="19"/>
              </w:rPr>
            </w:pPr>
            <w:r w:rsidRPr="001C3BBF">
              <w:rPr>
                <w:rFonts w:ascii="Gotham Book" w:hAnsi="Gotham Book" w:cs="Arial"/>
                <w:sz w:val="19"/>
                <w:szCs w:val="19"/>
              </w:rPr>
              <w:t>15 de julio</w:t>
            </w:r>
          </w:p>
        </w:tc>
      </w:tr>
      <w:tr w:rsidR="006C446D" w:rsidRPr="001C3BBF" w:rsidTr="003B2012">
        <w:tc>
          <w:tcPr>
            <w:tcW w:w="1667" w:type="pct"/>
            <w:tcBorders>
              <w:top w:val="single" w:sz="4" w:space="0" w:color="auto"/>
              <w:left w:val="single" w:sz="4" w:space="0" w:color="auto"/>
              <w:bottom w:val="single" w:sz="4" w:space="0" w:color="auto"/>
              <w:right w:val="single" w:sz="4" w:space="0" w:color="auto"/>
            </w:tcBorders>
            <w:hideMark/>
          </w:tcPr>
          <w:p w:rsidR="006C446D" w:rsidRPr="001C3BBF" w:rsidRDefault="006C446D" w:rsidP="003B2012">
            <w:pPr>
              <w:jc w:val="center"/>
              <w:rPr>
                <w:rFonts w:ascii="Gotham Book" w:hAnsi="Gotham Book" w:cs="Arial"/>
                <w:sz w:val="19"/>
                <w:szCs w:val="19"/>
              </w:rPr>
            </w:pPr>
            <w:r w:rsidRPr="001C3BBF">
              <w:rPr>
                <w:rFonts w:ascii="Gotham Book" w:hAnsi="Gotham Book" w:cs="Arial"/>
                <w:sz w:val="19"/>
                <w:szCs w:val="19"/>
              </w:rPr>
              <w:t>4°</w:t>
            </w:r>
          </w:p>
        </w:tc>
        <w:tc>
          <w:tcPr>
            <w:tcW w:w="1667" w:type="pct"/>
            <w:tcBorders>
              <w:top w:val="single" w:sz="4" w:space="0" w:color="auto"/>
              <w:left w:val="single" w:sz="4" w:space="0" w:color="auto"/>
              <w:bottom w:val="single" w:sz="4" w:space="0" w:color="auto"/>
              <w:right w:val="single" w:sz="4" w:space="0" w:color="auto"/>
            </w:tcBorders>
            <w:hideMark/>
          </w:tcPr>
          <w:p w:rsidR="006C446D" w:rsidRPr="001C3BBF" w:rsidRDefault="006C446D" w:rsidP="003B2012">
            <w:pPr>
              <w:jc w:val="center"/>
              <w:rPr>
                <w:rFonts w:ascii="Gotham Book" w:hAnsi="Gotham Book" w:cs="Arial"/>
                <w:sz w:val="19"/>
                <w:szCs w:val="19"/>
              </w:rPr>
            </w:pPr>
            <w:r w:rsidRPr="001C3BBF">
              <w:rPr>
                <w:rFonts w:ascii="Gotham Book" w:hAnsi="Gotham Book" w:cs="Arial"/>
                <w:sz w:val="19"/>
                <w:szCs w:val="19"/>
              </w:rPr>
              <w:t>julio y agosto</w:t>
            </w:r>
          </w:p>
        </w:tc>
        <w:tc>
          <w:tcPr>
            <w:tcW w:w="1666" w:type="pct"/>
            <w:tcBorders>
              <w:top w:val="single" w:sz="4" w:space="0" w:color="auto"/>
              <w:left w:val="single" w:sz="4" w:space="0" w:color="auto"/>
              <w:bottom w:val="single" w:sz="4" w:space="0" w:color="auto"/>
              <w:right w:val="single" w:sz="4" w:space="0" w:color="auto"/>
            </w:tcBorders>
            <w:hideMark/>
          </w:tcPr>
          <w:p w:rsidR="006C446D" w:rsidRPr="001C3BBF" w:rsidRDefault="006C446D" w:rsidP="003B2012">
            <w:pPr>
              <w:jc w:val="center"/>
              <w:rPr>
                <w:rFonts w:ascii="Gotham Book" w:hAnsi="Gotham Book" w:cs="Arial"/>
                <w:sz w:val="19"/>
                <w:szCs w:val="19"/>
              </w:rPr>
            </w:pPr>
            <w:r w:rsidRPr="001C3BBF">
              <w:rPr>
                <w:rFonts w:ascii="Gotham Book" w:hAnsi="Gotham Book" w:cs="Arial"/>
                <w:sz w:val="19"/>
                <w:szCs w:val="19"/>
              </w:rPr>
              <w:t>15 de septiembre</w:t>
            </w:r>
          </w:p>
        </w:tc>
      </w:tr>
      <w:tr w:rsidR="006C446D" w:rsidRPr="001C3BBF" w:rsidTr="003B2012">
        <w:tc>
          <w:tcPr>
            <w:tcW w:w="1667" w:type="pct"/>
            <w:tcBorders>
              <w:top w:val="single" w:sz="4" w:space="0" w:color="auto"/>
              <w:left w:val="single" w:sz="4" w:space="0" w:color="auto"/>
              <w:bottom w:val="single" w:sz="4" w:space="0" w:color="auto"/>
              <w:right w:val="single" w:sz="4" w:space="0" w:color="auto"/>
            </w:tcBorders>
            <w:hideMark/>
          </w:tcPr>
          <w:p w:rsidR="006C446D" w:rsidRPr="001C3BBF" w:rsidRDefault="006C446D" w:rsidP="003B2012">
            <w:pPr>
              <w:jc w:val="center"/>
              <w:rPr>
                <w:rFonts w:ascii="Gotham Book" w:hAnsi="Gotham Book" w:cs="Arial"/>
                <w:sz w:val="19"/>
                <w:szCs w:val="19"/>
              </w:rPr>
            </w:pPr>
            <w:r w:rsidRPr="001C3BBF">
              <w:rPr>
                <w:rFonts w:ascii="Gotham Book" w:hAnsi="Gotham Book" w:cs="Arial"/>
                <w:sz w:val="19"/>
                <w:szCs w:val="19"/>
              </w:rPr>
              <w:t>5°</w:t>
            </w:r>
          </w:p>
        </w:tc>
        <w:tc>
          <w:tcPr>
            <w:tcW w:w="1667" w:type="pct"/>
            <w:tcBorders>
              <w:top w:val="single" w:sz="4" w:space="0" w:color="auto"/>
              <w:left w:val="single" w:sz="4" w:space="0" w:color="auto"/>
              <w:bottom w:val="single" w:sz="4" w:space="0" w:color="auto"/>
              <w:right w:val="single" w:sz="4" w:space="0" w:color="auto"/>
            </w:tcBorders>
            <w:hideMark/>
          </w:tcPr>
          <w:p w:rsidR="006C446D" w:rsidRPr="001C3BBF" w:rsidRDefault="006C446D" w:rsidP="003B2012">
            <w:pPr>
              <w:jc w:val="center"/>
              <w:rPr>
                <w:rFonts w:ascii="Gotham Book" w:hAnsi="Gotham Book" w:cs="Arial"/>
                <w:sz w:val="19"/>
                <w:szCs w:val="19"/>
              </w:rPr>
            </w:pPr>
            <w:r w:rsidRPr="001C3BBF">
              <w:rPr>
                <w:rFonts w:ascii="Gotham Book" w:hAnsi="Gotham Book" w:cs="Arial"/>
                <w:sz w:val="19"/>
                <w:szCs w:val="19"/>
              </w:rPr>
              <w:t>septiembre y octubre</w:t>
            </w:r>
          </w:p>
        </w:tc>
        <w:tc>
          <w:tcPr>
            <w:tcW w:w="1666" w:type="pct"/>
            <w:tcBorders>
              <w:top w:val="single" w:sz="4" w:space="0" w:color="auto"/>
              <w:left w:val="single" w:sz="4" w:space="0" w:color="auto"/>
              <w:bottom w:val="single" w:sz="4" w:space="0" w:color="auto"/>
              <w:right w:val="single" w:sz="4" w:space="0" w:color="auto"/>
            </w:tcBorders>
            <w:hideMark/>
          </w:tcPr>
          <w:p w:rsidR="006C446D" w:rsidRPr="001C3BBF" w:rsidRDefault="006C446D" w:rsidP="003B2012">
            <w:pPr>
              <w:jc w:val="center"/>
              <w:rPr>
                <w:rFonts w:ascii="Gotham Book" w:hAnsi="Gotham Book" w:cs="Arial"/>
                <w:sz w:val="19"/>
                <w:szCs w:val="19"/>
              </w:rPr>
            </w:pPr>
            <w:r w:rsidRPr="001C3BBF">
              <w:rPr>
                <w:rFonts w:ascii="Gotham Book" w:hAnsi="Gotham Book" w:cs="Arial"/>
                <w:sz w:val="19"/>
                <w:szCs w:val="19"/>
              </w:rPr>
              <w:t>15 de noviembre</w:t>
            </w:r>
          </w:p>
        </w:tc>
      </w:tr>
      <w:tr w:rsidR="006C446D" w:rsidRPr="001C3BBF" w:rsidTr="003B2012">
        <w:tc>
          <w:tcPr>
            <w:tcW w:w="1667" w:type="pct"/>
            <w:tcBorders>
              <w:top w:val="single" w:sz="4" w:space="0" w:color="auto"/>
              <w:left w:val="single" w:sz="4" w:space="0" w:color="auto"/>
              <w:bottom w:val="single" w:sz="4" w:space="0" w:color="auto"/>
              <w:right w:val="single" w:sz="4" w:space="0" w:color="auto"/>
            </w:tcBorders>
            <w:hideMark/>
          </w:tcPr>
          <w:p w:rsidR="006C446D" w:rsidRPr="001C3BBF" w:rsidRDefault="006C446D" w:rsidP="003B2012">
            <w:pPr>
              <w:jc w:val="center"/>
              <w:rPr>
                <w:rFonts w:ascii="Gotham Book" w:hAnsi="Gotham Book" w:cs="Arial"/>
                <w:sz w:val="19"/>
                <w:szCs w:val="19"/>
              </w:rPr>
            </w:pPr>
            <w:r w:rsidRPr="001C3BBF">
              <w:rPr>
                <w:rFonts w:ascii="Gotham Book" w:hAnsi="Gotham Book" w:cs="Arial"/>
                <w:sz w:val="19"/>
                <w:szCs w:val="19"/>
              </w:rPr>
              <w:t>6°</w:t>
            </w:r>
          </w:p>
        </w:tc>
        <w:tc>
          <w:tcPr>
            <w:tcW w:w="1667" w:type="pct"/>
            <w:tcBorders>
              <w:top w:val="single" w:sz="4" w:space="0" w:color="auto"/>
              <w:left w:val="single" w:sz="4" w:space="0" w:color="auto"/>
              <w:bottom w:val="single" w:sz="4" w:space="0" w:color="auto"/>
              <w:right w:val="single" w:sz="4" w:space="0" w:color="auto"/>
            </w:tcBorders>
            <w:hideMark/>
          </w:tcPr>
          <w:p w:rsidR="006C446D" w:rsidRPr="001C3BBF" w:rsidRDefault="006C446D" w:rsidP="003B2012">
            <w:pPr>
              <w:jc w:val="center"/>
              <w:rPr>
                <w:rFonts w:ascii="Gotham Book" w:hAnsi="Gotham Book" w:cs="Arial"/>
                <w:sz w:val="19"/>
                <w:szCs w:val="19"/>
              </w:rPr>
            </w:pPr>
            <w:r w:rsidRPr="001C3BBF">
              <w:rPr>
                <w:rFonts w:ascii="Gotham Book" w:hAnsi="Gotham Book" w:cs="Arial"/>
                <w:sz w:val="19"/>
                <w:szCs w:val="19"/>
              </w:rPr>
              <w:t>noviembre y diciembre</w:t>
            </w:r>
          </w:p>
        </w:tc>
        <w:tc>
          <w:tcPr>
            <w:tcW w:w="1666" w:type="pct"/>
            <w:tcBorders>
              <w:top w:val="single" w:sz="4" w:space="0" w:color="auto"/>
              <w:left w:val="single" w:sz="4" w:space="0" w:color="auto"/>
              <w:bottom w:val="single" w:sz="4" w:space="0" w:color="auto"/>
              <w:right w:val="single" w:sz="4" w:space="0" w:color="auto"/>
            </w:tcBorders>
            <w:hideMark/>
          </w:tcPr>
          <w:p w:rsidR="006C446D" w:rsidRPr="001C3BBF" w:rsidRDefault="006C446D" w:rsidP="003B2012">
            <w:pPr>
              <w:jc w:val="center"/>
              <w:rPr>
                <w:rFonts w:ascii="Gotham Book" w:hAnsi="Gotham Book" w:cs="Arial"/>
                <w:sz w:val="19"/>
                <w:szCs w:val="19"/>
              </w:rPr>
            </w:pPr>
            <w:r w:rsidRPr="001C3BBF">
              <w:rPr>
                <w:rFonts w:ascii="Gotham Book" w:hAnsi="Gotham Book" w:cs="Arial"/>
                <w:sz w:val="19"/>
                <w:szCs w:val="19"/>
              </w:rPr>
              <w:t>15 de enero</w:t>
            </w:r>
          </w:p>
        </w:tc>
      </w:tr>
    </w:tbl>
    <w:p w:rsidR="006C446D" w:rsidRPr="001C3BBF" w:rsidRDefault="006C446D" w:rsidP="006C446D">
      <w:pPr>
        <w:spacing w:after="0" w:line="240" w:lineRule="auto"/>
        <w:jc w:val="both"/>
        <w:rPr>
          <w:rFonts w:ascii="Gotham Book" w:hAnsi="Gotham Book" w:cs="Arial"/>
          <w:sz w:val="19"/>
          <w:szCs w:val="19"/>
        </w:rPr>
      </w:pPr>
    </w:p>
    <w:p w:rsidR="006C446D" w:rsidRPr="001C3BBF" w:rsidRDefault="006C446D" w:rsidP="006C446D">
      <w:pPr>
        <w:pStyle w:val="Prrafodelista"/>
        <w:numPr>
          <w:ilvl w:val="0"/>
          <w:numId w:val="1"/>
        </w:numPr>
        <w:spacing w:after="0" w:line="240" w:lineRule="auto"/>
        <w:jc w:val="both"/>
        <w:rPr>
          <w:rFonts w:ascii="Gotham Book" w:hAnsi="Gotham Book" w:cs="Arial"/>
          <w:sz w:val="19"/>
          <w:szCs w:val="19"/>
        </w:rPr>
      </w:pPr>
      <w:r w:rsidRPr="001C3BBF">
        <w:rPr>
          <w:rFonts w:ascii="Gotham Book" w:hAnsi="Gotham Book" w:cs="Arial"/>
          <w:sz w:val="19"/>
          <w:szCs w:val="19"/>
        </w:rPr>
        <w:t>La forma para determinar el impuesto predial es aplicando a la base gravable del inmueble correspondiente, la tarifa progresiva que le encuadre a la tabla que se indica a continuación:</w:t>
      </w:r>
    </w:p>
    <w:p w:rsidR="006C446D" w:rsidRPr="001C3BBF" w:rsidRDefault="006C446D" w:rsidP="006C446D">
      <w:pPr>
        <w:spacing w:after="0" w:line="240" w:lineRule="auto"/>
        <w:ind w:hanging="34"/>
        <w:rPr>
          <w:rFonts w:ascii="Gotham Book" w:hAnsi="Gotham Book" w:cs="Arial"/>
          <w:sz w:val="19"/>
          <w:szCs w:val="19"/>
        </w:rPr>
      </w:pPr>
    </w:p>
    <w:tbl>
      <w:tblPr>
        <w:tblW w:w="5000" w:type="pct"/>
        <w:tblLayout w:type="fixed"/>
        <w:tblCellMar>
          <w:left w:w="70" w:type="dxa"/>
          <w:right w:w="70" w:type="dxa"/>
        </w:tblCellMar>
        <w:tblLook w:val="00A0" w:firstRow="1" w:lastRow="0" w:firstColumn="1" w:lastColumn="0" w:noHBand="0" w:noVBand="0"/>
      </w:tblPr>
      <w:tblGrid>
        <w:gridCol w:w="1442"/>
        <w:gridCol w:w="1996"/>
        <w:gridCol w:w="2402"/>
        <w:gridCol w:w="1518"/>
        <w:gridCol w:w="1460"/>
      </w:tblGrid>
      <w:tr w:rsidR="006C446D" w:rsidRPr="001C3BBF" w:rsidTr="003B2012">
        <w:trPr>
          <w:trHeight w:val="20"/>
        </w:trPr>
        <w:tc>
          <w:tcPr>
            <w:tcW w:w="817" w:type="pct"/>
            <w:vMerge w:val="restart"/>
            <w:tcBorders>
              <w:top w:val="single" w:sz="8" w:space="0" w:color="auto"/>
              <w:left w:val="single" w:sz="8" w:space="0" w:color="auto"/>
              <w:bottom w:val="single" w:sz="8" w:space="0" w:color="000000"/>
              <w:right w:val="single" w:sz="4" w:space="0" w:color="auto"/>
            </w:tcBorders>
            <w:shd w:val="clear" w:color="auto" w:fill="AEAAAA" w:themeFill="background2" w:themeFillShade="BF"/>
            <w:vAlign w:val="center"/>
          </w:tcPr>
          <w:p w:rsidR="006C446D" w:rsidRPr="001C3BBF" w:rsidRDefault="006C446D" w:rsidP="003B2012">
            <w:pPr>
              <w:spacing w:after="0" w:line="240" w:lineRule="auto"/>
              <w:ind w:hanging="34"/>
              <w:contextualSpacing/>
              <w:jc w:val="center"/>
              <w:rPr>
                <w:rFonts w:ascii="Gotham Book" w:hAnsi="Gotham Book" w:cs="Arial"/>
                <w:b/>
                <w:bCs/>
                <w:sz w:val="19"/>
                <w:szCs w:val="19"/>
                <w:lang w:eastAsia="es-MX"/>
              </w:rPr>
            </w:pPr>
            <w:r w:rsidRPr="001C3BBF">
              <w:rPr>
                <w:rFonts w:ascii="Gotham Book" w:hAnsi="Gotham Book" w:cs="Arial"/>
                <w:b/>
                <w:bCs/>
                <w:sz w:val="19"/>
                <w:szCs w:val="19"/>
                <w:lang w:eastAsia="es-MX"/>
              </w:rPr>
              <w:t>Número de Rango</w:t>
            </w:r>
          </w:p>
        </w:tc>
        <w:tc>
          <w:tcPr>
            <w:tcW w:w="2494" w:type="pct"/>
            <w:gridSpan w:val="2"/>
            <w:tcBorders>
              <w:top w:val="single" w:sz="8" w:space="0" w:color="auto"/>
              <w:left w:val="nil"/>
              <w:bottom w:val="single" w:sz="4" w:space="0" w:color="auto"/>
              <w:right w:val="single" w:sz="4" w:space="0" w:color="auto"/>
            </w:tcBorders>
            <w:shd w:val="clear" w:color="auto" w:fill="AEAAAA" w:themeFill="background2" w:themeFillShade="BF"/>
            <w:vAlign w:val="center"/>
          </w:tcPr>
          <w:p w:rsidR="006C446D" w:rsidRPr="001C3BBF" w:rsidRDefault="006C446D" w:rsidP="003B2012">
            <w:pPr>
              <w:spacing w:after="0" w:line="240" w:lineRule="auto"/>
              <w:ind w:hanging="34"/>
              <w:contextualSpacing/>
              <w:jc w:val="center"/>
              <w:rPr>
                <w:rFonts w:ascii="Gotham Book" w:hAnsi="Gotham Book" w:cs="Arial"/>
                <w:b/>
                <w:bCs/>
                <w:sz w:val="19"/>
                <w:szCs w:val="19"/>
                <w:lang w:eastAsia="es-MX"/>
              </w:rPr>
            </w:pPr>
            <w:r w:rsidRPr="001C3BBF">
              <w:rPr>
                <w:rFonts w:ascii="Gotham Book" w:hAnsi="Gotham Book" w:cs="Arial"/>
                <w:b/>
                <w:bCs/>
                <w:sz w:val="19"/>
                <w:szCs w:val="19"/>
                <w:lang w:eastAsia="es-MX"/>
              </w:rPr>
              <w:t xml:space="preserve">Rango de Valores </w:t>
            </w:r>
          </w:p>
        </w:tc>
        <w:tc>
          <w:tcPr>
            <w:tcW w:w="861" w:type="pct"/>
            <w:vMerge w:val="restart"/>
            <w:tcBorders>
              <w:top w:val="single" w:sz="8" w:space="0" w:color="auto"/>
              <w:left w:val="single" w:sz="4" w:space="0" w:color="auto"/>
              <w:bottom w:val="single" w:sz="8" w:space="0" w:color="000000"/>
              <w:right w:val="single" w:sz="4" w:space="0" w:color="auto"/>
            </w:tcBorders>
            <w:shd w:val="clear" w:color="auto" w:fill="AEAAAA" w:themeFill="background2" w:themeFillShade="BF"/>
            <w:vAlign w:val="center"/>
          </w:tcPr>
          <w:p w:rsidR="006C446D" w:rsidRPr="001C3BBF" w:rsidRDefault="006C446D" w:rsidP="003B2012">
            <w:pPr>
              <w:spacing w:after="0" w:line="240" w:lineRule="auto"/>
              <w:ind w:hanging="34"/>
              <w:contextualSpacing/>
              <w:jc w:val="center"/>
              <w:rPr>
                <w:rFonts w:ascii="Gotham Book" w:hAnsi="Gotham Book" w:cs="Arial"/>
                <w:b/>
                <w:bCs/>
                <w:sz w:val="19"/>
                <w:szCs w:val="19"/>
                <w:lang w:eastAsia="es-MX"/>
              </w:rPr>
            </w:pPr>
            <w:r w:rsidRPr="001C3BBF">
              <w:rPr>
                <w:rFonts w:ascii="Gotham Book" w:hAnsi="Gotham Book" w:cs="Arial"/>
                <w:b/>
                <w:bCs/>
                <w:sz w:val="19"/>
                <w:szCs w:val="19"/>
                <w:lang w:eastAsia="es-MX"/>
              </w:rPr>
              <w:t>Cuota fija en Pesos</w:t>
            </w:r>
          </w:p>
        </w:tc>
        <w:tc>
          <w:tcPr>
            <w:tcW w:w="829" w:type="pct"/>
            <w:vMerge w:val="restart"/>
            <w:tcBorders>
              <w:top w:val="single" w:sz="8" w:space="0" w:color="auto"/>
              <w:left w:val="single" w:sz="4" w:space="0" w:color="auto"/>
              <w:bottom w:val="single" w:sz="8" w:space="0" w:color="000000"/>
              <w:right w:val="single" w:sz="8" w:space="0" w:color="auto"/>
            </w:tcBorders>
            <w:shd w:val="clear" w:color="auto" w:fill="AEAAAA" w:themeFill="background2" w:themeFillShade="BF"/>
            <w:vAlign w:val="center"/>
          </w:tcPr>
          <w:p w:rsidR="006C446D" w:rsidRPr="001C3BBF" w:rsidRDefault="006C446D" w:rsidP="003B2012">
            <w:pPr>
              <w:spacing w:after="0" w:line="240" w:lineRule="auto"/>
              <w:ind w:hanging="34"/>
              <w:contextualSpacing/>
              <w:jc w:val="center"/>
              <w:rPr>
                <w:rFonts w:ascii="Gotham Book" w:hAnsi="Gotham Book" w:cs="Arial"/>
                <w:b/>
                <w:bCs/>
                <w:sz w:val="19"/>
                <w:szCs w:val="19"/>
                <w:lang w:eastAsia="es-MX"/>
              </w:rPr>
            </w:pPr>
            <w:r w:rsidRPr="001C3BBF">
              <w:rPr>
                <w:rFonts w:ascii="Gotham Book" w:hAnsi="Gotham Book" w:cs="Arial"/>
                <w:b/>
                <w:bCs/>
                <w:sz w:val="19"/>
                <w:szCs w:val="19"/>
                <w:lang w:eastAsia="es-MX"/>
              </w:rPr>
              <w:t>Tarifa sobre el excedente del límite inferior</w:t>
            </w:r>
          </w:p>
        </w:tc>
      </w:tr>
      <w:tr w:rsidR="006C446D" w:rsidRPr="001C3BBF" w:rsidTr="003B2012">
        <w:trPr>
          <w:trHeight w:val="618"/>
        </w:trPr>
        <w:tc>
          <w:tcPr>
            <w:tcW w:w="817" w:type="pct"/>
            <w:vMerge/>
            <w:tcBorders>
              <w:top w:val="single" w:sz="8" w:space="0" w:color="auto"/>
              <w:left w:val="single" w:sz="8" w:space="0" w:color="auto"/>
              <w:bottom w:val="single" w:sz="8" w:space="0" w:color="000000"/>
              <w:right w:val="single" w:sz="4" w:space="0" w:color="auto"/>
            </w:tcBorders>
            <w:vAlign w:val="center"/>
          </w:tcPr>
          <w:p w:rsidR="006C446D" w:rsidRPr="001C3BBF" w:rsidRDefault="006C446D" w:rsidP="003B2012">
            <w:pPr>
              <w:spacing w:after="0" w:line="240" w:lineRule="auto"/>
              <w:contextualSpacing/>
              <w:rPr>
                <w:rFonts w:ascii="Gotham Book" w:hAnsi="Gotham Book" w:cs="Arial"/>
                <w:b/>
                <w:bCs/>
                <w:sz w:val="19"/>
                <w:szCs w:val="19"/>
                <w:lang w:eastAsia="es-MX"/>
              </w:rPr>
            </w:pPr>
          </w:p>
        </w:tc>
        <w:tc>
          <w:tcPr>
            <w:tcW w:w="1132" w:type="pct"/>
            <w:tcBorders>
              <w:top w:val="nil"/>
              <w:left w:val="nil"/>
              <w:bottom w:val="single" w:sz="8" w:space="0" w:color="auto"/>
              <w:right w:val="single" w:sz="4" w:space="0" w:color="auto"/>
            </w:tcBorders>
            <w:shd w:val="clear" w:color="auto" w:fill="AEAAAA" w:themeFill="background2" w:themeFillShade="BF"/>
            <w:noWrap/>
            <w:vAlign w:val="center"/>
          </w:tcPr>
          <w:p w:rsidR="006C446D" w:rsidRPr="001C3BBF" w:rsidRDefault="006C446D" w:rsidP="003B2012">
            <w:pPr>
              <w:spacing w:after="0" w:line="240" w:lineRule="auto"/>
              <w:ind w:hanging="34"/>
              <w:contextualSpacing/>
              <w:jc w:val="center"/>
              <w:rPr>
                <w:rFonts w:ascii="Gotham Book" w:hAnsi="Gotham Book" w:cs="Arial"/>
                <w:b/>
                <w:bCs/>
                <w:sz w:val="19"/>
                <w:szCs w:val="19"/>
                <w:lang w:eastAsia="es-MX"/>
              </w:rPr>
            </w:pPr>
            <w:r w:rsidRPr="001C3BBF">
              <w:rPr>
                <w:rFonts w:ascii="Gotham Book" w:hAnsi="Gotham Book" w:cs="Arial"/>
                <w:b/>
                <w:bCs/>
                <w:sz w:val="19"/>
                <w:szCs w:val="19"/>
                <w:lang w:eastAsia="es-MX"/>
              </w:rPr>
              <w:t>Inferior</w:t>
            </w:r>
          </w:p>
        </w:tc>
        <w:tc>
          <w:tcPr>
            <w:tcW w:w="1362" w:type="pct"/>
            <w:tcBorders>
              <w:top w:val="nil"/>
              <w:left w:val="nil"/>
              <w:bottom w:val="single" w:sz="8" w:space="0" w:color="auto"/>
              <w:right w:val="single" w:sz="4" w:space="0" w:color="auto"/>
            </w:tcBorders>
            <w:shd w:val="clear" w:color="auto" w:fill="AEAAAA" w:themeFill="background2" w:themeFillShade="BF"/>
            <w:noWrap/>
            <w:vAlign w:val="center"/>
          </w:tcPr>
          <w:p w:rsidR="006C446D" w:rsidRPr="001C3BBF" w:rsidRDefault="006C446D" w:rsidP="003B2012">
            <w:pPr>
              <w:spacing w:after="0" w:line="240" w:lineRule="auto"/>
              <w:ind w:hanging="34"/>
              <w:contextualSpacing/>
              <w:jc w:val="center"/>
              <w:rPr>
                <w:rFonts w:ascii="Gotham Book" w:hAnsi="Gotham Book" w:cs="Arial"/>
                <w:b/>
                <w:bCs/>
                <w:sz w:val="19"/>
                <w:szCs w:val="19"/>
                <w:lang w:eastAsia="es-MX"/>
              </w:rPr>
            </w:pPr>
            <w:r w:rsidRPr="001C3BBF">
              <w:rPr>
                <w:rFonts w:ascii="Gotham Book" w:hAnsi="Gotham Book" w:cs="Arial"/>
                <w:b/>
                <w:bCs/>
                <w:sz w:val="19"/>
                <w:szCs w:val="19"/>
                <w:lang w:eastAsia="es-MX"/>
              </w:rPr>
              <w:t>Superior</w:t>
            </w:r>
          </w:p>
        </w:tc>
        <w:tc>
          <w:tcPr>
            <w:tcW w:w="861" w:type="pct"/>
            <w:vMerge/>
            <w:tcBorders>
              <w:top w:val="single" w:sz="8" w:space="0" w:color="auto"/>
              <w:left w:val="single" w:sz="4" w:space="0" w:color="auto"/>
              <w:bottom w:val="single" w:sz="8" w:space="0" w:color="000000"/>
              <w:right w:val="single" w:sz="4" w:space="0" w:color="auto"/>
            </w:tcBorders>
            <w:vAlign w:val="center"/>
          </w:tcPr>
          <w:p w:rsidR="006C446D" w:rsidRPr="001C3BBF" w:rsidRDefault="006C446D" w:rsidP="003B2012">
            <w:pPr>
              <w:spacing w:after="0" w:line="240" w:lineRule="auto"/>
              <w:contextualSpacing/>
              <w:rPr>
                <w:rFonts w:ascii="Gotham Book" w:hAnsi="Gotham Book" w:cs="Arial"/>
                <w:b/>
                <w:bCs/>
                <w:sz w:val="19"/>
                <w:szCs w:val="19"/>
                <w:lang w:eastAsia="es-MX"/>
              </w:rPr>
            </w:pPr>
          </w:p>
        </w:tc>
        <w:tc>
          <w:tcPr>
            <w:tcW w:w="829" w:type="pct"/>
            <w:vMerge/>
            <w:tcBorders>
              <w:top w:val="single" w:sz="8" w:space="0" w:color="auto"/>
              <w:left w:val="single" w:sz="4" w:space="0" w:color="auto"/>
              <w:bottom w:val="single" w:sz="8" w:space="0" w:color="000000"/>
              <w:right w:val="single" w:sz="8" w:space="0" w:color="auto"/>
            </w:tcBorders>
            <w:vAlign w:val="center"/>
          </w:tcPr>
          <w:p w:rsidR="006C446D" w:rsidRPr="001C3BBF" w:rsidRDefault="006C446D" w:rsidP="003B2012">
            <w:pPr>
              <w:spacing w:after="0" w:line="240" w:lineRule="auto"/>
              <w:contextualSpacing/>
              <w:rPr>
                <w:rFonts w:ascii="Gotham Book" w:hAnsi="Gotham Book" w:cs="Arial"/>
                <w:b/>
                <w:bCs/>
                <w:sz w:val="19"/>
                <w:szCs w:val="19"/>
                <w:lang w:eastAsia="es-MX"/>
              </w:rPr>
            </w:pPr>
          </w:p>
        </w:tc>
      </w:tr>
      <w:tr w:rsidR="006C446D" w:rsidRPr="001C3BBF" w:rsidTr="003B2012">
        <w:trPr>
          <w:trHeight w:val="20"/>
        </w:trPr>
        <w:tc>
          <w:tcPr>
            <w:tcW w:w="817" w:type="pct"/>
            <w:tcBorders>
              <w:top w:val="single" w:sz="4" w:space="0" w:color="auto"/>
              <w:left w:val="single" w:sz="4" w:space="0" w:color="auto"/>
              <w:bottom w:val="single" w:sz="4" w:space="0" w:color="auto"/>
              <w:right w:val="single" w:sz="4" w:space="0" w:color="auto"/>
            </w:tcBorders>
            <w:noWrap/>
            <w:vAlign w:val="center"/>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1</w:t>
            </w:r>
          </w:p>
        </w:tc>
        <w:tc>
          <w:tcPr>
            <w:tcW w:w="1132" w:type="pct"/>
            <w:tcBorders>
              <w:top w:val="single" w:sz="4" w:space="0" w:color="auto"/>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$ 0.01 </w:t>
            </w:r>
          </w:p>
        </w:tc>
        <w:tc>
          <w:tcPr>
            <w:tcW w:w="1362" w:type="pct"/>
            <w:tcBorders>
              <w:top w:val="single" w:sz="4" w:space="0" w:color="auto"/>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$58,938.01 </w:t>
            </w:r>
          </w:p>
        </w:tc>
        <w:tc>
          <w:tcPr>
            <w:tcW w:w="861" w:type="pct"/>
            <w:tcBorders>
              <w:top w:val="single" w:sz="4" w:space="0" w:color="auto"/>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$117.26 </w:t>
            </w:r>
          </w:p>
        </w:tc>
        <w:tc>
          <w:tcPr>
            <w:tcW w:w="829" w:type="pct"/>
            <w:tcBorders>
              <w:top w:val="single" w:sz="4" w:space="0" w:color="auto"/>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0.000849</w:t>
            </w:r>
          </w:p>
        </w:tc>
      </w:tr>
      <w:tr w:rsidR="006C446D" w:rsidRPr="001C3BBF" w:rsidTr="003B2012">
        <w:trPr>
          <w:trHeight w:val="20"/>
        </w:trPr>
        <w:tc>
          <w:tcPr>
            <w:tcW w:w="817" w:type="pct"/>
            <w:tcBorders>
              <w:top w:val="nil"/>
              <w:left w:val="single" w:sz="4" w:space="0" w:color="auto"/>
              <w:bottom w:val="single" w:sz="4" w:space="0" w:color="auto"/>
              <w:right w:val="single" w:sz="4" w:space="0" w:color="auto"/>
            </w:tcBorders>
            <w:noWrap/>
            <w:vAlign w:val="center"/>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2</w:t>
            </w:r>
          </w:p>
        </w:tc>
        <w:tc>
          <w:tcPr>
            <w:tcW w:w="113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$58,938.02 </w:t>
            </w:r>
          </w:p>
        </w:tc>
        <w:tc>
          <w:tcPr>
            <w:tcW w:w="136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$82,278.26 </w:t>
            </w:r>
          </w:p>
        </w:tc>
        <w:tc>
          <w:tcPr>
            <w:tcW w:w="861"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$167.34 </w:t>
            </w:r>
          </w:p>
        </w:tc>
        <w:tc>
          <w:tcPr>
            <w:tcW w:w="829"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0.003061</w:t>
            </w:r>
          </w:p>
        </w:tc>
      </w:tr>
      <w:tr w:rsidR="006C446D" w:rsidRPr="001C3BBF" w:rsidTr="003B2012">
        <w:trPr>
          <w:trHeight w:val="20"/>
        </w:trPr>
        <w:tc>
          <w:tcPr>
            <w:tcW w:w="817" w:type="pct"/>
            <w:tcBorders>
              <w:top w:val="nil"/>
              <w:left w:val="single" w:sz="4" w:space="0" w:color="auto"/>
              <w:bottom w:val="single" w:sz="4" w:space="0" w:color="auto"/>
              <w:right w:val="single" w:sz="4" w:space="0" w:color="auto"/>
            </w:tcBorders>
            <w:noWrap/>
            <w:vAlign w:val="center"/>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3</w:t>
            </w:r>
          </w:p>
        </w:tc>
        <w:tc>
          <w:tcPr>
            <w:tcW w:w="113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$82,278.27 </w:t>
            </w:r>
          </w:p>
        </w:tc>
        <w:tc>
          <w:tcPr>
            <w:tcW w:w="136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$114,861.60 </w:t>
            </w:r>
          </w:p>
        </w:tc>
        <w:tc>
          <w:tcPr>
            <w:tcW w:w="861"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$238.79 </w:t>
            </w:r>
          </w:p>
        </w:tc>
        <w:tc>
          <w:tcPr>
            <w:tcW w:w="829"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0.003129</w:t>
            </w:r>
          </w:p>
        </w:tc>
      </w:tr>
      <w:tr w:rsidR="006C446D" w:rsidRPr="001C3BBF" w:rsidTr="003B2012">
        <w:trPr>
          <w:trHeight w:val="20"/>
        </w:trPr>
        <w:tc>
          <w:tcPr>
            <w:tcW w:w="817" w:type="pct"/>
            <w:tcBorders>
              <w:top w:val="nil"/>
              <w:left w:val="single" w:sz="4" w:space="0" w:color="auto"/>
              <w:bottom w:val="single" w:sz="4" w:space="0" w:color="auto"/>
              <w:right w:val="single" w:sz="4" w:space="0" w:color="auto"/>
            </w:tcBorders>
            <w:noWrap/>
            <w:vAlign w:val="center"/>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4</w:t>
            </w:r>
          </w:p>
        </w:tc>
        <w:tc>
          <w:tcPr>
            <w:tcW w:w="113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$114,861.61 </w:t>
            </w:r>
          </w:p>
        </w:tc>
        <w:tc>
          <w:tcPr>
            <w:tcW w:w="136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$160,348.42 </w:t>
            </w:r>
          </w:p>
        </w:tc>
        <w:tc>
          <w:tcPr>
            <w:tcW w:w="861"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$340.76 </w:t>
            </w:r>
          </w:p>
        </w:tc>
        <w:tc>
          <w:tcPr>
            <w:tcW w:w="829"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0.003198</w:t>
            </w:r>
          </w:p>
        </w:tc>
      </w:tr>
      <w:tr w:rsidR="006C446D" w:rsidRPr="001C3BBF" w:rsidTr="003B2012">
        <w:trPr>
          <w:trHeight w:val="20"/>
        </w:trPr>
        <w:tc>
          <w:tcPr>
            <w:tcW w:w="817" w:type="pct"/>
            <w:tcBorders>
              <w:top w:val="nil"/>
              <w:left w:val="single" w:sz="4" w:space="0" w:color="auto"/>
              <w:bottom w:val="single" w:sz="4" w:space="0" w:color="auto"/>
              <w:right w:val="single" w:sz="4" w:space="0" w:color="auto"/>
            </w:tcBorders>
            <w:noWrap/>
            <w:vAlign w:val="center"/>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5</w:t>
            </w:r>
          </w:p>
        </w:tc>
        <w:tc>
          <w:tcPr>
            <w:tcW w:w="113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$160,348.43 </w:t>
            </w:r>
          </w:p>
        </w:tc>
        <w:tc>
          <w:tcPr>
            <w:tcW w:w="136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$223,848.68 </w:t>
            </w:r>
          </w:p>
        </w:tc>
        <w:tc>
          <w:tcPr>
            <w:tcW w:w="861"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$486.27 </w:t>
            </w:r>
          </w:p>
        </w:tc>
        <w:tc>
          <w:tcPr>
            <w:tcW w:w="829"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0.003269</w:t>
            </w:r>
          </w:p>
        </w:tc>
      </w:tr>
      <w:tr w:rsidR="006C446D" w:rsidRPr="001C3BBF" w:rsidTr="003B2012">
        <w:trPr>
          <w:trHeight w:val="20"/>
        </w:trPr>
        <w:tc>
          <w:tcPr>
            <w:tcW w:w="817" w:type="pct"/>
            <w:tcBorders>
              <w:top w:val="nil"/>
              <w:left w:val="single" w:sz="4" w:space="0" w:color="auto"/>
              <w:bottom w:val="single" w:sz="4" w:space="0" w:color="auto"/>
              <w:right w:val="single" w:sz="4" w:space="0" w:color="auto"/>
            </w:tcBorders>
            <w:noWrap/>
            <w:vAlign w:val="center"/>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6</w:t>
            </w:r>
          </w:p>
        </w:tc>
        <w:tc>
          <w:tcPr>
            <w:tcW w:w="113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$223,848.69 </w:t>
            </w:r>
          </w:p>
        </w:tc>
        <w:tc>
          <w:tcPr>
            <w:tcW w:w="136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$312,496.00 </w:t>
            </w:r>
          </w:p>
        </w:tc>
        <w:tc>
          <w:tcPr>
            <w:tcW w:w="861"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$693.92 </w:t>
            </w:r>
          </w:p>
        </w:tc>
        <w:tc>
          <w:tcPr>
            <w:tcW w:w="829"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0.003342</w:t>
            </w:r>
          </w:p>
        </w:tc>
      </w:tr>
      <w:tr w:rsidR="006C446D" w:rsidRPr="001C3BBF" w:rsidTr="003B2012">
        <w:trPr>
          <w:trHeight w:val="20"/>
        </w:trPr>
        <w:tc>
          <w:tcPr>
            <w:tcW w:w="817" w:type="pct"/>
            <w:tcBorders>
              <w:top w:val="nil"/>
              <w:left w:val="single" w:sz="4" w:space="0" w:color="auto"/>
              <w:bottom w:val="single" w:sz="4" w:space="0" w:color="auto"/>
              <w:right w:val="single" w:sz="4" w:space="0" w:color="auto"/>
            </w:tcBorders>
            <w:noWrap/>
            <w:vAlign w:val="center"/>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7</w:t>
            </w:r>
          </w:p>
        </w:tc>
        <w:tc>
          <w:tcPr>
            <w:tcW w:w="113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$312,496.01 </w:t>
            </w:r>
          </w:p>
        </w:tc>
        <w:tc>
          <w:tcPr>
            <w:tcW w:w="136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$436,248.95 </w:t>
            </w:r>
          </w:p>
        </w:tc>
        <w:tc>
          <w:tcPr>
            <w:tcW w:w="861"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$990.23 </w:t>
            </w:r>
          </w:p>
        </w:tc>
        <w:tc>
          <w:tcPr>
            <w:tcW w:w="829"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0.003416</w:t>
            </w:r>
          </w:p>
        </w:tc>
      </w:tr>
      <w:tr w:rsidR="006C446D" w:rsidRPr="001C3BBF" w:rsidTr="003B2012">
        <w:trPr>
          <w:trHeight w:val="20"/>
        </w:trPr>
        <w:tc>
          <w:tcPr>
            <w:tcW w:w="817" w:type="pct"/>
            <w:tcBorders>
              <w:top w:val="nil"/>
              <w:left w:val="single" w:sz="4" w:space="0" w:color="auto"/>
              <w:bottom w:val="single" w:sz="4" w:space="0" w:color="auto"/>
              <w:right w:val="single" w:sz="4" w:space="0" w:color="auto"/>
            </w:tcBorders>
            <w:noWrap/>
            <w:vAlign w:val="center"/>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8</w:t>
            </w:r>
          </w:p>
        </w:tc>
        <w:tc>
          <w:tcPr>
            <w:tcW w:w="113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$436,248.96 </w:t>
            </w:r>
          </w:p>
        </w:tc>
        <w:tc>
          <w:tcPr>
            <w:tcW w:w="136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$609,009.91 </w:t>
            </w:r>
          </w:p>
        </w:tc>
        <w:tc>
          <w:tcPr>
            <w:tcW w:w="861"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$1,413.07 </w:t>
            </w:r>
          </w:p>
        </w:tc>
        <w:tc>
          <w:tcPr>
            <w:tcW w:w="829"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0.003492</w:t>
            </w:r>
          </w:p>
        </w:tc>
      </w:tr>
      <w:tr w:rsidR="006C446D" w:rsidRPr="001C3BBF" w:rsidTr="003B2012">
        <w:trPr>
          <w:trHeight w:val="20"/>
        </w:trPr>
        <w:tc>
          <w:tcPr>
            <w:tcW w:w="817" w:type="pct"/>
            <w:tcBorders>
              <w:top w:val="nil"/>
              <w:left w:val="single" w:sz="4" w:space="0" w:color="auto"/>
              <w:bottom w:val="single" w:sz="4" w:space="0" w:color="auto"/>
              <w:right w:val="single" w:sz="4" w:space="0" w:color="auto"/>
            </w:tcBorders>
            <w:noWrap/>
            <w:vAlign w:val="center"/>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9</w:t>
            </w:r>
          </w:p>
        </w:tc>
        <w:tc>
          <w:tcPr>
            <w:tcW w:w="113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$609,009.92 </w:t>
            </w:r>
          </w:p>
        </w:tc>
        <w:tc>
          <w:tcPr>
            <w:tcW w:w="136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$850,186.75 </w:t>
            </w:r>
          </w:p>
        </w:tc>
        <w:tc>
          <w:tcPr>
            <w:tcW w:w="861"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$2,016.47 </w:t>
            </w:r>
          </w:p>
        </w:tc>
        <w:tc>
          <w:tcPr>
            <w:tcW w:w="829"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0.003570</w:t>
            </w:r>
          </w:p>
        </w:tc>
      </w:tr>
      <w:tr w:rsidR="006C446D" w:rsidRPr="001C3BBF" w:rsidTr="003B2012">
        <w:trPr>
          <w:trHeight w:val="20"/>
        </w:trPr>
        <w:tc>
          <w:tcPr>
            <w:tcW w:w="817" w:type="pct"/>
            <w:tcBorders>
              <w:top w:val="nil"/>
              <w:left w:val="single" w:sz="4" w:space="0" w:color="auto"/>
              <w:bottom w:val="single" w:sz="4" w:space="0" w:color="auto"/>
              <w:right w:val="single" w:sz="4" w:space="0" w:color="auto"/>
            </w:tcBorders>
            <w:noWrap/>
            <w:vAlign w:val="center"/>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10</w:t>
            </w:r>
          </w:p>
        </w:tc>
        <w:tc>
          <w:tcPr>
            <w:tcW w:w="113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$850,186.76 </w:t>
            </w:r>
          </w:p>
        </w:tc>
        <w:tc>
          <w:tcPr>
            <w:tcW w:w="136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$1,186,873.19 </w:t>
            </w:r>
          </w:p>
        </w:tc>
        <w:tc>
          <w:tcPr>
            <w:tcW w:w="861"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$2,877.54 </w:t>
            </w:r>
          </w:p>
        </w:tc>
        <w:tc>
          <w:tcPr>
            <w:tcW w:w="829"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0.003649</w:t>
            </w:r>
          </w:p>
        </w:tc>
      </w:tr>
      <w:tr w:rsidR="006C446D" w:rsidRPr="001C3BBF" w:rsidTr="003B2012">
        <w:trPr>
          <w:trHeight w:val="20"/>
        </w:trPr>
        <w:tc>
          <w:tcPr>
            <w:tcW w:w="817" w:type="pct"/>
            <w:tcBorders>
              <w:top w:val="nil"/>
              <w:left w:val="single" w:sz="4" w:space="0" w:color="auto"/>
              <w:bottom w:val="single" w:sz="4" w:space="0" w:color="auto"/>
              <w:right w:val="single" w:sz="4" w:space="0" w:color="auto"/>
            </w:tcBorders>
            <w:noWrap/>
            <w:vAlign w:val="center"/>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11</w:t>
            </w:r>
          </w:p>
        </w:tc>
        <w:tc>
          <w:tcPr>
            <w:tcW w:w="113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$1,186,873.20 </w:t>
            </w:r>
          </w:p>
        </w:tc>
        <w:tc>
          <w:tcPr>
            <w:tcW w:w="136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$1,656,892.42 </w:t>
            </w:r>
          </w:p>
        </w:tc>
        <w:tc>
          <w:tcPr>
            <w:tcW w:w="861"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$4,106.29 </w:t>
            </w:r>
          </w:p>
        </w:tc>
        <w:tc>
          <w:tcPr>
            <w:tcW w:w="829"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0.003730</w:t>
            </w:r>
          </w:p>
        </w:tc>
      </w:tr>
      <w:tr w:rsidR="006C446D" w:rsidRPr="001C3BBF" w:rsidTr="003B2012">
        <w:trPr>
          <w:trHeight w:val="20"/>
        </w:trPr>
        <w:tc>
          <w:tcPr>
            <w:tcW w:w="817" w:type="pct"/>
            <w:tcBorders>
              <w:top w:val="nil"/>
              <w:left w:val="single" w:sz="4" w:space="0" w:color="auto"/>
              <w:bottom w:val="single" w:sz="4" w:space="0" w:color="auto"/>
              <w:right w:val="single" w:sz="4" w:space="0" w:color="auto"/>
            </w:tcBorders>
            <w:noWrap/>
            <w:vAlign w:val="center"/>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12</w:t>
            </w:r>
          </w:p>
        </w:tc>
        <w:tc>
          <w:tcPr>
            <w:tcW w:w="113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$1,656,892.43 </w:t>
            </w:r>
          </w:p>
        </w:tc>
        <w:tc>
          <w:tcPr>
            <w:tcW w:w="136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$2,313,046.21 </w:t>
            </w:r>
          </w:p>
        </w:tc>
        <w:tc>
          <w:tcPr>
            <w:tcW w:w="861"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$5,859.73 </w:t>
            </w:r>
          </w:p>
        </w:tc>
        <w:tc>
          <w:tcPr>
            <w:tcW w:w="829"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0.003813</w:t>
            </w:r>
          </w:p>
        </w:tc>
      </w:tr>
      <w:tr w:rsidR="006C446D" w:rsidRPr="001C3BBF" w:rsidTr="003B2012">
        <w:trPr>
          <w:trHeight w:val="20"/>
        </w:trPr>
        <w:tc>
          <w:tcPr>
            <w:tcW w:w="817" w:type="pct"/>
            <w:tcBorders>
              <w:top w:val="nil"/>
              <w:left w:val="single" w:sz="4" w:space="0" w:color="auto"/>
              <w:bottom w:val="single" w:sz="4" w:space="0" w:color="auto"/>
              <w:right w:val="single" w:sz="4" w:space="0" w:color="auto"/>
            </w:tcBorders>
            <w:noWrap/>
            <w:vAlign w:val="center"/>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13</w:t>
            </w:r>
          </w:p>
        </w:tc>
        <w:tc>
          <w:tcPr>
            <w:tcW w:w="113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$2,313,046.22 </w:t>
            </w:r>
          </w:p>
        </w:tc>
        <w:tc>
          <w:tcPr>
            <w:tcW w:w="136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$3,229,046.60 </w:t>
            </w:r>
          </w:p>
        </w:tc>
        <w:tc>
          <w:tcPr>
            <w:tcW w:w="861"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$8,361.92 </w:t>
            </w:r>
          </w:p>
        </w:tc>
        <w:tc>
          <w:tcPr>
            <w:tcW w:w="829"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0.003898</w:t>
            </w:r>
          </w:p>
        </w:tc>
      </w:tr>
      <w:tr w:rsidR="006C446D" w:rsidRPr="001C3BBF" w:rsidTr="003B2012">
        <w:trPr>
          <w:trHeight w:val="20"/>
        </w:trPr>
        <w:tc>
          <w:tcPr>
            <w:tcW w:w="817" w:type="pct"/>
            <w:tcBorders>
              <w:top w:val="nil"/>
              <w:left w:val="single" w:sz="4" w:space="0" w:color="auto"/>
              <w:bottom w:val="single" w:sz="4" w:space="0" w:color="auto"/>
              <w:right w:val="single" w:sz="4" w:space="0" w:color="auto"/>
            </w:tcBorders>
            <w:noWrap/>
            <w:vAlign w:val="center"/>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14</w:t>
            </w:r>
          </w:p>
        </w:tc>
        <w:tc>
          <w:tcPr>
            <w:tcW w:w="113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$3,229,046.61 </w:t>
            </w:r>
          </w:p>
        </w:tc>
        <w:tc>
          <w:tcPr>
            <w:tcW w:w="136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$4,507,796.66 </w:t>
            </w:r>
          </w:p>
        </w:tc>
        <w:tc>
          <w:tcPr>
            <w:tcW w:w="861"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$11,932.58 </w:t>
            </w:r>
          </w:p>
        </w:tc>
        <w:tc>
          <w:tcPr>
            <w:tcW w:w="829"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0.003984</w:t>
            </w:r>
          </w:p>
        </w:tc>
      </w:tr>
      <w:tr w:rsidR="006C446D" w:rsidRPr="001C3BBF" w:rsidTr="003B2012">
        <w:trPr>
          <w:trHeight w:val="20"/>
        </w:trPr>
        <w:tc>
          <w:tcPr>
            <w:tcW w:w="817" w:type="pct"/>
            <w:tcBorders>
              <w:top w:val="nil"/>
              <w:left w:val="single" w:sz="4" w:space="0" w:color="auto"/>
              <w:bottom w:val="single" w:sz="4" w:space="0" w:color="auto"/>
              <w:right w:val="single" w:sz="4" w:space="0" w:color="auto"/>
            </w:tcBorders>
            <w:noWrap/>
            <w:vAlign w:val="center"/>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15</w:t>
            </w:r>
          </w:p>
        </w:tc>
        <w:tc>
          <w:tcPr>
            <w:tcW w:w="113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$4,507,796.67 </w:t>
            </w:r>
          </w:p>
        </w:tc>
        <w:tc>
          <w:tcPr>
            <w:tcW w:w="136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$6,292,950.63 </w:t>
            </w:r>
          </w:p>
        </w:tc>
        <w:tc>
          <w:tcPr>
            <w:tcW w:w="861"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$17,027.97 </w:t>
            </w:r>
          </w:p>
        </w:tc>
        <w:tc>
          <w:tcPr>
            <w:tcW w:w="829"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0.004073</w:t>
            </w:r>
          </w:p>
        </w:tc>
      </w:tr>
      <w:tr w:rsidR="006C446D" w:rsidRPr="001C3BBF" w:rsidTr="003B2012">
        <w:trPr>
          <w:trHeight w:val="20"/>
        </w:trPr>
        <w:tc>
          <w:tcPr>
            <w:tcW w:w="817" w:type="pct"/>
            <w:tcBorders>
              <w:top w:val="nil"/>
              <w:left w:val="single" w:sz="4" w:space="0" w:color="auto"/>
              <w:bottom w:val="single" w:sz="4" w:space="0" w:color="auto"/>
              <w:right w:val="single" w:sz="4" w:space="0" w:color="auto"/>
            </w:tcBorders>
            <w:noWrap/>
            <w:vAlign w:val="center"/>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16</w:t>
            </w:r>
          </w:p>
        </w:tc>
        <w:tc>
          <w:tcPr>
            <w:tcW w:w="113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$6,292,950.64 </w:t>
            </w:r>
          </w:p>
        </w:tc>
        <w:tc>
          <w:tcPr>
            <w:tcW w:w="136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$8,785,051.94 </w:t>
            </w:r>
          </w:p>
        </w:tc>
        <w:tc>
          <w:tcPr>
            <w:tcW w:w="861"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$24,299.17 </w:t>
            </w:r>
          </w:p>
        </w:tc>
        <w:tc>
          <w:tcPr>
            <w:tcW w:w="829"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0.004163</w:t>
            </w:r>
          </w:p>
        </w:tc>
      </w:tr>
      <w:tr w:rsidR="006C446D" w:rsidRPr="001C3BBF" w:rsidTr="003B2012">
        <w:trPr>
          <w:trHeight w:val="20"/>
        </w:trPr>
        <w:tc>
          <w:tcPr>
            <w:tcW w:w="817" w:type="pct"/>
            <w:tcBorders>
              <w:top w:val="nil"/>
              <w:left w:val="single" w:sz="4" w:space="0" w:color="auto"/>
              <w:bottom w:val="single" w:sz="4" w:space="0" w:color="auto"/>
              <w:right w:val="single" w:sz="4" w:space="0" w:color="auto"/>
            </w:tcBorders>
            <w:noWrap/>
            <w:vAlign w:val="center"/>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17</w:t>
            </w:r>
          </w:p>
        </w:tc>
        <w:tc>
          <w:tcPr>
            <w:tcW w:w="113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$8,785,051.95 </w:t>
            </w:r>
          </w:p>
        </w:tc>
        <w:tc>
          <w:tcPr>
            <w:tcW w:w="136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$12,264,062.16 </w:t>
            </w:r>
          </w:p>
        </w:tc>
        <w:tc>
          <w:tcPr>
            <w:tcW w:w="861"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$34,675.27 </w:t>
            </w:r>
          </w:p>
        </w:tc>
        <w:tc>
          <w:tcPr>
            <w:tcW w:w="829"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0.004256</w:t>
            </w:r>
          </w:p>
        </w:tc>
      </w:tr>
      <w:tr w:rsidR="006C446D" w:rsidRPr="001C3BBF" w:rsidTr="003B2012">
        <w:trPr>
          <w:trHeight w:val="20"/>
        </w:trPr>
        <w:tc>
          <w:tcPr>
            <w:tcW w:w="817" w:type="pct"/>
            <w:tcBorders>
              <w:top w:val="nil"/>
              <w:left w:val="single" w:sz="4" w:space="0" w:color="auto"/>
              <w:bottom w:val="single" w:sz="4" w:space="0" w:color="auto"/>
              <w:right w:val="single" w:sz="4" w:space="0" w:color="auto"/>
            </w:tcBorders>
            <w:noWrap/>
            <w:vAlign w:val="center"/>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18</w:t>
            </w:r>
          </w:p>
        </w:tc>
        <w:tc>
          <w:tcPr>
            <w:tcW w:w="113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$12,264,062.17 </w:t>
            </w:r>
          </w:p>
        </w:tc>
        <w:tc>
          <w:tcPr>
            <w:tcW w:w="136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$17,120,811.80 </w:t>
            </w:r>
          </w:p>
        </w:tc>
        <w:tc>
          <w:tcPr>
            <w:tcW w:w="861"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$49,482.13 </w:t>
            </w:r>
          </w:p>
        </w:tc>
        <w:tc>
          <w:tcPr>
            <w:tcW w:w="829"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0.004350</w:t>
            </w:r>
          </w:p>
        </w:tc>
      </w:tr>
      <w:tr w:rsidR="006C446D" w:rsidRPr="001C3BBF" w:rsidTr="003B2012">
        <w:trPr>
          <w:trHeight w:val="20"/>
        </w:trPr>
        <w:tc>
          <w:tcPr>
            <w:tcW w:w="817" w:type="pct"/>
            <w:tcBorders>
              <w:top w:val="nil"/>
              <w:left w:val="single" w:sz="4" w:space="0" w:color="auto"/>
              <w:bottom w:val="single" w:sz="4" w:space="0" w:color="auto"/>
              <w:right w:val="single" w:sz="4" w:space="0" w:color="auto"/>
            </w:tcBorders>
            <w:noWrap/>
            <w:vAlign w:val="center"/>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19</w:t>
            </w:r>
          </w:p>
        </w:tc>
        <w:tc>
          <w:tcPr>
            <w:tcW w:w="113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$17,120,811.81 </w:t>
            </w:r>
          </w:p>
        </w:tc>
        <w:tc>
          <w:tcPr>
            <w:tcW w:w="136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$23,900,906.02 </w:t>
            </w:r>
          </w:p>
        </w:tc>
        <w:tc>
          <w:tcPr>
            <w:tcW w:w="861"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$70,611.73 </w:t>
            </w:r>
          </w:p>
        </w:tc>
        <w:tc>
          <w:tcPr>
            <w:tcW w:w="829"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0.004447</w:t>
            </w:r>
          </w:p>
        </w:tc>
      </w:tr>
      <w:tr w:rsidR="006C446D" w:rsidRPr="001C3BBF" w:rsidTr="003B2012">
        <w:trPr>
          <w:trHeight w:val="20"/>
        </w:trPr>
        <w:tc>
          <w:tcPr>
            <w:tcW w:w="817" w:type="pct"/>
            <w:tcBorders>
              <w:top w:val="single" w:sz="4" w:space="0" w:color="auto"/>
              <w:left w:val="single" w:sz="4" w:space="0" w:color="auto"/>
              <w:bottom w:val="single" w:sz="4" w:space="0" w:color="auto"/>
              <w:right w:val="single" w:sz="4" w:space="0" w:color="auto"/>
            </w:tcBorders>
            <w:noWrap/>
            <w:vAlign w:val="center"/>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20</w:t>
            </w:r>
          </w:p>
        </w:tc>
        <w:tc>
          <w:tcPr>
            <w:tcW w:w="1132" w:type="pct"/>
            <w:tcBorders>
              <w:top w:val="single" w:sz="4" w:space="0" w:color="auto"/>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$23,900,906.03 </w:t>
            </w:r>
          </w:p>
        </w:tc>
        <w:tc>
          <w:tcPr>
            <w:tcW w:w="1362" w:type="pct"/>
            <w:tcBorders>
              <w:top w:val="single" w:sz="4" w:space="0" w:color="auto"/>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$33,366,017.67 </w:t>
            </w:r>
          </w:p>
        </w:tc>
        <w:tc>
          <w:tcPr>
            <w:tcW w:w="861" w:type="pct"/>
            <w:tcBorders>
              <w:top w:val="single" w:sz="4" w:space="0" w:color="auto"/>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$100,763.98 </w:t>
            </w:r>
          </w:p>
        </w:tc>
        <w:tc>
          <w:tcPr>
            <w:tcW w:w="829" w:type="pct"/>
            <w:tcBorders>
              <w:top w:val="single" w:sz="4" w:space="0" w:color="auto"/>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0.004545</w:t>
            </w:r>
          </w:p>
        </w:tc>
      </w:tr>
      <w:tr w:rsidR="006C446D" w:rsidRPr="001C3BBF" w:rsidTr="003B2012">
        <w:trPr>
          <w:trHeight w:val="20"/>
        </w:trPr>
        <w:tc>
          <w:tcPr>
            <w:tcW w:w="817" w:type="pct"/>
            <w:tcBorders>
              <w:top w:val="nil"/>
              <w:left w:val="single" w:sz="4" w:space="0" w:color="auto"/>
              <w:bottom w:val="single" w:sz="4" w:space="0" w:color="auto"/>
              <w:right w:val="single" w:sz="4" w:space="0" w:color="auto"/>
            </w:tcBorders>
            <w:noWrap/>
            <w:vAlign w:val="center"/>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21</w:t>
            </w:r>
          </w:p>
        </w:tc>
        <w:tc>
          <w:tcPr>
            <w:tcW w:w="113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$33,366,017.68 </w:t>
            </w:r>
          </w:p>
        </w:tc>
        <w:tc>
          <w:tcPr>
            <w:tcW w:w="136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$46,579,453.31 </w:t>
            </w:r>
          </w:p>
        </w:tc>
        <w:tc>
          <w:tcPr>
            <w:tcW w:w="861"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$143,791.69 </w:t>
            </w:r>
          </w:p>
        </w:tc>
        <w:tc>
          <w:tcPr>
            <w:tcW w:w="829"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0.004646</w:t>
            </w:r>
          </w:p>
        </w:tc>
      </w:tr>
      <w:tr w:rsidR="006C446D" w:rsidRPr="001C3BBF" w:rsidTr="003B2012">
        <w:trPr>
          <w:trHeight w:val="20"/>
        </w:trPr>
        <w:tc>
          <w:tcPr>
            <w:tcW w:w="817" w:type="pct"/>
            <w:tcBorders>
              <w:top w:val="nil"/>
              <w:left w:val="single" w:sz="4" w:space="0" w:color="auto"/>
              <w:bottom w:val="single" w:sz="4" w:space="0" w:color="auto"/>
              <w:right w:val="single" w:sz="4" w:space="0" w:color="auto"/>
            </w:tcBorders>
            <w:noWrap/>
            <w:vAlign w:val="center"/>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22</w:t>
            </w:r>
          </w:p>
        </w:tc>
        <w:tc>
          <w:tcPr>
            <w:tcW w:w="113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$46,579,453.32 </w:t>
            </w:r>
          </w:p>
        </w:tc>
        <w:tc>
          <w:tcPr>
            <w:tcW w:w="136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$65,025,604.58 </w:t>
            </w:r>
          </w:p>
        </w:tc>
        <w:tc>
          <w:tcPr>
            <w:tcW w:w="861"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$205,192.86 </w:t>
            </w:r>
          </w:p>
        </w:tc>
        <w:tc>
          <w:tcPr>
            <w:tcW w:w="829"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0.004750</w:t>
            </w:r>
          </w:p>
        </w:tc>
      </w:tr>
      <w:tr w:rsidR="006C446D" w:rsidRPr="001C3BBF" w:rsidTr="003B2012">
        <w:trPr>
          <w:trHeight w:val="20"/>
        </w:trPr>
        <w:tc>
          <w:tcPr>
            <w:tcW w:w="817" w:type="pct"/>
            <w:tcBorders>
              <w:top w:val="nil"/>
              <w:left w:val="single" w:sz="4" w:space="0" w:color="auto"/>
              <w:bottom w:val="single" w:sz="4" w:space="0" w:color="auto"/>
              <w:right w:val="single" w:sz="4" w:space="0" w:color="auto"/>
            </w:tcBorders>
            <w:noWrap/>
            <w:vAlign w:val="center"/>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23</w:t>
            </w:r>
          </w:p>
        </w:tc>
        <w:tc>
          <w:tcPr>
            <w:tcW w:w="113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$65,025,604.59 </w:t>
            </w:r>
          </w:p>
        </w:tc>
        <w:tc>
          <w:tcPr>
            <w:tcW w:w="136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$90,776,704.14 </w:t>
            </w:r>
          </w:p>
        </w:tc>
        <w:tc>
          <w:tcPr>
            <w:tcW w:w="861"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$292,813.24 </w:t>
            </w:r>
          </w:p>
        </w:tc>
        <w:tc>
          <w:tcPr>
            <w:tcW w:w="829"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0.004855</w:t>
            </w:r>
          </w:p>
        </w:tc>
      </w:tr>
      <w:tr w:rsidR="006C446D" w:rsidRPr="001C3BBF" w:rsidTr="003B2012">
        <w:trPr>
          <w:trHeight w:val="20"/>
        </w:trPr>
        <w:tc>
          <w:tcPr>
            <w:tcW w:w="817" w:type="pct"/>
            <w:tcBorders>
              <w:top w:val="nil"/>
              <w:left w:val="single" w:sz="4" w:space="0" w:color="auto"/>
              <w:bottom w:val="single" w:sz="4" w:space="0" w:color="auto"/>
              <w:right w:val="single" w:sz="4" w:space="0" w:color="auto"/>
            </w:tcBorders>
            <w:noWrap/>
            <w:vAlign w:val="center"/>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24</w:t>
            </w:r>
          </w:p>
        </w:tc>
        <w:tc>
          <w:tcPr>
            <w:tcW w:w="113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$90,776,704.15 </w:t>
            </w:r>
          </w:p>
        </w:tc>
        <w:tc>
          <w:tcPr>
            <w:tcW w:w="136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$126,725,619.38 </w:t>
            </w:r>
          </w:p>
        </w:tc>
        <w:tc>
          <w:tcPr>
            <w:tcW w:w="861"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$417,848.82 </w:t>
            </w:r>
          </w:p>
        </w:tc>
        <w:tc>
          <w:tcPr>
            <w:tcW w:w="829"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0.004963</w:t>
            </w:r>
          </w:p>
        </w:tc>
      </w:tr>
      <w:tr w:rsidR="006C446D" w:rsidRPr="001C3BBF" w:rsidTr="003B2012">
        <w:trPr>
          <w:trHeight w:val="20"/>
        </w:trPr>
        <w:tc>
          <w:tcPr>
            <w:tcW w:w="817" w:type="pct"/>
            <w:tcBorders>
              <w:top w:val="nil"/>
              <w:left w:val="single" w:sz="4" w:space="0" w:color="auto"/>
              <w:bottom w:val="single" w:sz="4" w:space="0" w:color="auto"/>
              <w:right w:val="single" w:sz="4" w:space="0" w:color="auto"/>
            </w:tcBorders>
            <w:noWrap/>
            <w:vAlign w:val="center"/>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25</w:t>
            </w:r>
          </w:p>
        </w:tc>
        <w:tc>
          <w:tcPr>
            <w:tcW w:w="113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$126,725,619.39 </w:t>
            </w:r>
          </w:p>
        </w:tc>
        <w:tc>
          <w:tcPr>
            <w:tcW w:w="1362"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En Adelante</w:t>
            </w:r>
          </w:p>
        </w:tc>
        <w:tc>
          <w:tcPr>
            <w:tcW w:w="861"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 xml:space="preserve"> $596,276.43 </w:t>
            </w:r>
          </w:p>
        </w:tc>
        <w:tc>
          <w:tcPr>
            <w:tcW w:w="829" w:type="pct"/>
            <w:tcBorders>
              <w:top w:val="nil"/>
              <w:left w:val="nil"/>
              <w:bottom w:val="single" w:sz="4" w:space="0" w:color="auto"/>
              <w:right w:val="single" w:sz="4" w:space="0" w:color="auto"/>
            </w:tcBorders>
            <w:shd w:val="clear" w:color="auto" w:fill="auto"/>
            <w:noWrap/>
          </w:tcPr>
          <w:p w:rsidR="006C446D" w:rsidRPr="001C3BBF" w:rsidRDefault="006C446D" w:rsidP="003B2012">
            <w:pPr>
              <w:spacing w:after="0" w:line="240" w:lineRule="auto"/>
              <w:contextualSpacing/>
              <w:jc w:val="center"/>
              <w:rPr>
                <w:rFonts w:ascii="Gotham Book" w:hAnsi="Gotham Book" w:cs="Arial"/>
                <w:sz w:val="19"/>
                <w:szCs w:val="19"/>
              </w:rPr>
            </w:pPr>
            <w:r w:rsidRPr="001C3BBF">
              <w:rPr>
                <w:rFonts w:ascii="Gotham Book" w:hAnsi="Gotham Book" w:cs="Arial"/>
                <w:sz w:val="19"/>
                <w:szCs w:val="19"/>
              </w:rPr>
              <w:t>0.005073</w:t>
            </w:r>
          </w:p>
        </w:tc>
      </w:tr>
    </w:tbl>
    <w:p w:rsidR="006C446D" w:rsidRPr="001C3BBF" w:rsidRDefault="006C446D" w:rsidP="006C446D">
      <w:pPr>
        <w:spacing w:after="0" w:line="240" w:lineRule="auto"/>
        <w:ind w:hanging="34"/>
        <w:jc w:val="center"/>
        <w:rPr>
          <w:rFonts w:ascii="Gotham Book" w:hAnsi="Gotham Book" w:cs="Arial"/>
          <w:sz w:val="19"/>
          <w:szCs w:val="19"/>
        </w:rPr>
      </w:pPr>
    </w:p>
    <w:p w:rsidR="006C446D" w:rsidRPr="001C3BBF" w:rsidRDefault="006C446D" w:rsidP="006C446D">
      <w:pPr>
        <w:spacing w:after="0" w:line="240" w:lineRule="auto"/>
        <w:ind w:left="742" w:hanging="34"/>
        <w:jc w:val="both"/>
        <w:rPr>
          <w:rFonts w:ascii="Gotham Book" w:hAnsi="Gotham Book" w:cs="Arial"/>
          <w:strike/>
          <w:sz w:val="19"/>
          <w:szCs w:val="19"/>
        </w:rPr>
      </w:pPr>
      <w:r w:rsidRPr="001C3BBF">
        <w:rPr>
          <w:rFonts w:ascii="Gotham Book" w:hAnsi="Gotham Book" w:cs="Arial"/>
          <w:sz w:val="19"/>
          <w:szCs w:val="19"/>
        </w:rPr>
        <w:t>Para el cálculo de este impuesto, se realizará el siguiente proceso:</w:t>
      </w:r>
    </w:p>
    <w:p w:rsidR="006C446D" w:rsidRPr="001C3BBF" w:rsidRDefault="006C446D" w:rsidP="006C446D">
      <w:pPr>
        <w:spacing w:after="0" w:line="240" w:lineRule="auto"/>
        <w:ind w:hanging="34"/>
        <w:jc w:val="both"/>
        <w:rPr>
          <w:rFonts w:ascii="Gotham Book" w:hAnsi="Gotham Book" w:cs="Arial"/>
          <w:strike/>
          <w:sz w:val="19"/>
          <w:szCs w:val="19"/>
        </w:rPr>
      </w:pPr>
    </w:p>
    <w:p w:rsidR="006C446D" w:rsidRPr="001C3BBF" w:rsidRDefault="006C446D" w:rsidP="006C446D">
      <w:pPr>
        <w:spacing w:after="0" w:line="240" w:lineRule="auto"/>
        <w:jc w:val="center"/>
        <w:rPr>
          <w:rFonts w:ascii="Gotham Book" w:hAnsi="Gotham Book" w:cs="Arial"/>
          <w:sz w:val="19"/>
          <w:szCs w:val="19"/>
        </w:rPr>
      </w:pPr>
      <w:r w:rsidRPr="001C3BBF">
        <w:rPr>
          <w:rFonts w:ascii="Gotham Book" w:hAnsi="Gotham Book" w:cs="Arial"/>
          <w:sz w:val="19"/>
          <w:szCs w:val="19"/>
        </w:rPr>
        <w:t>Base Catastral - Límite Inferior x Tarifa sobre el excedente del límite inferior + Cuota Fija Pesos</w:t>
      </w:r>
    </w:p>
    <w:p w:rsidR="006C446D" w:rsidRPr="001C3BBF" w:rsidRDefault="006C446D" w:rsidP="006C446D">
      <w:pPr>
        <w:spacing w:after="0" w:line="240" w:lineRule="auto"/>
        <w:ind w:left="708"/>
        <w:jc w:val="both"/>
        <w:rPr>
          <w:rFonts w:ascii="Gotham Book" w:hAnsi="Gotham Book" w:cs="Arial"/>
          <w:sz w:val="19"/>
          <w:szCs w:val="19"/>
        </w:rPr>
      </w:pPr>
    </w:p>
    <w:p w:rsidR="006C446D" w:rsidRPr="001C3BBF" w:rsidRDefault="006C446D" w:rsidP="006C446D">
      <w:pPr>
        <w:spacing w:after="0" w:line="240" w:lineRule="auto"/>
        <w:ind w:left="708"/>
        <w:jc w:val="both"/>
        <w:rPr>
          <w:rFonts w:ascii="Gotham Book" w:hAnsi="Gotham Book" w:cs="Arial"/>
          <w:sz w:val="19"/>
          <w:szCs w:val="19"/>
        </w:rPr>
      </w:pPr>
      <w:r w:rsidRPr="001C3BBF">
        <w:rPr>
          <w:rFonts w:ascii="Gotham Book" w:hAnsi="Gotham Book" w:cs="Arial"/>
          <w:sz w:val="19"/>
          <w:szCs w:val="19"/>
        </w:rPr>
        <w:t>Que se desglosa de la siguiente manera:</w:t>
      </w:r>
    </w:p>
    <w:p w:rsidR="006C446D" w:rsidRPr="001C3BBF" w:rsidRDefault="006C446D" w:rsidP="006C446D">
      <w:pPr>
        <w:spacing w:after="0" w:line="240" w:lineRule="auto"/>
        <w:jc w:val="both"/>
        <w:rPr>
          <w:rFonts w:ascii="Gotham Book" w:hAnsi="Gotham Book" w:cs="Arial"/>
          <w:sz w:val="19"/>
          <w:szCs w:val="19"/>
        </w:rPr>
      </w:pPr>
    </w:p>
    <w:p w:rsidR="006C446D" w:rsidRPr="001C3BBF" w:rsidRDefault="006C446D" w:rsidP="006C446D">
      <w:pPr>
        <w:spacing w:after="0" w:line="240" w:lineRule="auto"/>
        <w:jc w:val="center"/>
        <w:rPr>
          <w:rFonts w:ascii="Gotham Book" w:hAnsi="Gotham Book" w:cs="Arial"/>
          <w:sz w:val="19"/>
          <w:szCs w:val="19"/>
        </w:rPr>
      </w:pPr>
      <w:r w:rsidRPr="001C3BBF">
        <w:rPr>
          <w:rFonts w:ascii="Gotham Book" w:hAnsi="Gotham Book" w:cs="Arial"/>
          <w:sz w:val="19"/>
          <w:szCs w:val="19"/>
        </w:rPr>
        <w:t>Base Catastral - Límite Inferior = Excedente</w:t>
      </w:r>
    </w:p>
    <w:p w:rsidR="006C446D" w:rsidRPr="001C3BBF" w:rsidRDefault="006C446D" w:rsidP="006C446D">
      <w:pPr>
        <w:spacing w:after="0" w:line="240" w:lineRule="auto"/>
        <w:jc w:val="center"/>
        <w:rPr>
          <w:rFonts w:ascii="Gotham Book" w:hAnsi="Gotham Book" w:cs="Arial"/>
          <w:sz w:val="19"/>
          <w:szCs w:val="19"/>
        </w:rPr>
      </w:pPr>
      <w:r w:rsidRPr="001C3BBF">
        <w:rPr>
          <w:rFonts w:ascii="Gotham Book" w:hAnsi="Gotham Book" w:cs="Arial"/>
          <w:sz w:val="19"/>
          <w:szCs w:val="19"/>
        </w:rPr>
        <w:t>Excedente - Tarifa sobre el excedente del límite inferior = Importe Excedente</w:t>
      </w:r>
    </w:p>
    <w:p w:rsidR="006C446D" w:rsidRPr="001C3BBF" w:rsidRDefault="006C446D" w:rsidP="006C446D">
      <w:pPr>
        <w:spacing w:after="0" w:line="240" w:lineRule="auto"/>
        <w:jc w:val="center"/>
        <w:rPr>
          <w:rFonts w:ascii="Gotham Book" w:hAnsi="Gotham Book" w:cs="Arial"/>
          <w:sz w:val="19"/>
          <w:szCs w:val="19"/>
        </w:rPr>
      </w:pPr>
      <w:r w:rsidRPr="001C3BBF">
        <w:rPr>
          <w:rFonts w:ascii="Gotham Book" w:hAnsi="Gotham Book" w:cs="Arial"/>
          <w:sz w:val="19"/>
          <w:szCs w:val="19"/>
        </w:rPr>
        <w:t xml:space="preserve">Importe Excedente + Cuota Fija Pesos = Impuesto Anual </w:t>
      </w:r>
    </w:p>
    <w:p w:rsidR="006C446D" w:rsidRPr="001C3BBF" w:rsidRDefault="006C446D" w:rsidP="006C446D">
      <w:pPr>
        <w:spacing w:after="0" w:line="240" w:lineRule="auto"/>
        <w:jc w:val="center"/>
        <w:rPr>
          <w:rFonts w:ascii="Gotham Book" w:hAnsi="Gotham Book" w:cs="Arial"/>
          <w:sz w:val="19"/>
          <w:szCs w:val="19"/>
        </w:rPr>
      </w:pPr>
      <w:r w:rsidRPr="001C3BBF">
        <w:rPr>
          <w:rFonts w:ascii="Gotham Book" w:hAnsi="Gotham Book" w:cs="Arial"/>
          <w:sz w:val="19"/>
          <w:szCs w:val="19"/>
        </w:rPr>
        <w:t>Impuesto Anual ÷ Seis = Importe Bimestral</w:t>
      </w:r>
    </w:p>
    <w:p w:rsidR="006C446D" w:rsidRPr="001C3BBF" w:rsidRDefault="006C446D" w:rsidP="006C446D">
      <w:pPr>
        <w:spacing w:after="0" w:line="240" w:lineRule="auto"/>
        <w:jc w:val="both"/>
        <w:rPr>
          <w:rFonts w:ascii="Gotham Book" w:hAnsi="Gotham Book" w:cs="Arial"/>
          <w:sz w:val="19"/>
          <w:szCs w:val="19"/>
        </w:rPr>
      </w:pPr>
    </w:p>
    <w:p w:rsidR="006C446D" w:rsidRPr="001C3BBF" w:rsidRDefault="006C446D" w:rsidP="006C446D">
      <w:pPr>
        <w:pStyle w:val="Prrafodelista"/>
        <w:numPr>
          <w:ilvl w:val="0"/>
          <w:numId w:val="1"/>
        </w:numPr>
        <w:spacing w:after="0" w:line="240" w:lineRule="auto"/>
        <w:jc w:val="both"/>
        <w:rPr>
          <w:rFonts w:ascii="Gotham Book" w:hAnsi="Gotham Book" w:cs="Arial"/>
          <w:sz w:val="19"/>
          <w:szCs w:val="19"/>
        </w:rPr>
      </w:pPr>
      <w:r w:rsidRPr="001C3BBF">
        <w:rPr>
          <w:rFonts w:ascii="Gotham Book" w:hAnsi="Gotham Book" w:cs="Arial"/>
          <w:sz w:val="19"/>
          <w:szCs w:val="19"/>
        </w:rPr>
        <w:t>Las autoridades municipales tienen las siguientes facultades:</w:t>
      </w:r>
    </w:p>
    <w:p w:rsidR="006C446D" w:rsidRPr="001C3BBF" w:rsidRDefault="006C446D" w:rsidP="006C446D">
      <w:pPr>
        <w:spacing w:after="0" w:line="240" w:lineRule="auto"/>
        <w:ind w:hanging="34"/>
        <w:jc w:val="both"/>
        <w:rPr>
          <w:rFonts w:ascii="Gotham Book" w:hAnsi="Gotham Book" w:cs="Arial"/>
          <w:sz w:val="19"/>
          <w:szCs w:val="19"/>
        </w:rPr>
      </w:pPr>
    </w:p>
    <w:p w:rsidR="006C446D" w:rsidRPr="001C3BBF" w:rsidRDefault="006C446D" w:rsidP="006C446D">
      <w:pPr>
        <w:pStyle w:val="Prrafodelista"/>
        <w:numPr>
          <w:ilvl w:val="0"/>
          <w:numId w:val="2"/>
        </w:numPr>
        <w:spacing w:after="0" w:line="240" w:lineRule="auto"/>
        <w:jc w:val="both"/>
        <w:rPr>
          <w:rFonts w:ascii="Gotham Book" w:hAnsi="Gotham Book" w:cs="Arial"/>
          <w:sz w:val="19"/>
          <w:szCs w:val="19"/>
        </w:rPr>
      </w:pPr>
      <w:r w:rsidRPr="001C3BBF">
        <w:rPr>
          <w:rFonts w:ascii="Gotham Book" w:hAnsi="Gotham Book" w:cs="Arial"/>
          <w:sz w:val="19"/>
          <w:szCs w:val="19"/>
        </w:rPr>
        <w:t xml:space="preserve">Solicitar de los sujetos del impuesto, responsables solidarios y terceros, los datos, informes o documentos para verificar el cumplimiento dado a las disposiciones de esta ley; </w:t>
      </w:r>
    </w:p>
    <w:p w:rsidR="006C446D" w:rsidRPr="001C3BBF" w:rsidRDefault="006C446D" w:rsidP="006C446D">
      <w:pPr>
        <w:pStyle w:val="Prrafodelista"/>
        <w:spacing w:after="0" w:line="240" w:lineRule="auto"/>
        <w:jc w:val="both"/>
        <w:rPr>
          <w:rFonts w:ascii="Gotham Book" w:hAnsi="Gotham Book" w:cs="Arial"/>
          <w:sz w:val="19"/>
          <w:szCs w:val="19"/>
        </w:rPr>
      </w:pPr>
    </w:p>
    <w:p w:rsidR="006C446D" w:rsidRPr="001C3BBF" w:rsidRDefault="006C446D" w:rsidP="006C446D">
      <w:pPr>
        <w:pStyle w:val="Prrafodelista"/>
        <w:numPr>
          <w:ilvl w:val="0"/>
          <w:numId w:val="2"/>
        </w:numPr>
        <w:spacing w:after="0" w:line="240" w:lineRule="auto"/>
        <w:jc w:val="both"/>
        <w:rPr>
          <w:rFonts w:ascii="Gotham Book" w:hAnsi="Gotham Book" w:cs="Arial"/>
          <w:sz w:val="19"/>
          <w:szCs w:val="19"/>
        </w:rPr>
      </w:pPr>
      <w:r w:rsidRPr="001C3BBF">
        <w:rPr>
          <w:rFonts w:ascii="Gotham Book" w:hAnsi="Gotham Book" w:cs="Arial"/>
          <w:sz w:val="19"/>
          <w:szCs w:val="19"/>
        </w:rPr>
        <w:t xml:space="preserve">Solicitar a los Peritos Valuadores con registro en el Estado, la práctica de avalúos comerciales de predios, referidos al primero de enero de cada año o a la fecha en que sucedan los supuestos en los cuales modifiquen el valor catastral del inmueble, en los siguientes casos: </w:t>
      </w:r>
    </w:p>
    <w:p w:rsidR="006C446D" w:rsidRPr="001C3BBF" w:rsidRDefault="006C446D" w:rsidP="006C446D">
      <w:pPr>
        <w:spacing w:after="0" w:line="240" w:lineRule="auto"/>
        <w:ind w:hanging="34"/>
        <w:jc w:val="both"/>
        <w:rPr>
          <w:rFonts w:ascii="Gotham Book" w:hAnsi="Gotham Book" w:cs="Arial"/>
          <w:sz w:val="19"/>
          <w:szCs w:val="19"/>
        </w:rPr>
      </w:pPr>
    </w:p>
    <w:p w:rsidR="006C446D" w:rsidRPr="001C3BBF" w:rsidRDefault="006C446D" w:rsidP="006C446D">
      <w:pPr>
        <w:pStyle w:val="Prrafodelista"/>
        <w:numPr>
          <w:ilvl w:val="0"/>
          <w:numId w:val="3"/>
        </w:numPr>
        <w:spacing w:after="0" w:line="240" w:lineRule="auto"/>
        <w:jc w:val="both"/>
        <w:rPr>
          <w:rFonts w:ascii="Gotham Book" w:hAnsi="Gotham Book" w:cs="Arial"/>
          <w:sz w:val="19"/>
          <w:szCs w:val="19"/>
        </w:rPr>
      </w:pPr>
      <w:r w:rsidRPr="001C3BBF">
        <w:rPr>
          <w:rFonts w:ascii="Gotham Book" w:hAnsi="Gotham Book" w:cs="Arial"/>
          <w:sz w:val="19"/>
          <w:szCs w:val="19"/>
        </w:rPr>
        <w:t>Cuando el contribuyente lo solicite,</w:t>
      </w:r>
    </w:p>
    <w:p w:rsidR="006C446D" w:rsidRPr="001C3BBF" w:rsidRDefault="006C446D" w:rsidP="006C446D">
      <w:pPr>
        <w:pStyle w:val="Prrafodelista"/>
        <w:numPr>
          <w:ilvl w:val="0"/>
          <w:numId w:val="3"/>
        </w:numPr>
        <w:spacing w:after="0" w:line="240" w:lineRule="auto"/>
        <w:jc w:val="both"/>
        <w:rPr>
          <w:rFonts w:ascii="Gotham Book" w:hAnsi="Gotham Book" w:cs="Arial"/>
          <w:sz w:val="19"/>
          <w:szCs w:val="19"/>
        </w:rPr>
      </w:pPr>
      <w:r w:rsidRPr="001C3BBF">
        <w:rPr>
          <w:rFonts w:ascii="Gotham Book" w:hAnsi="Gotham Book" w:cs="Arial"/>
          <w:sz w:val="19"/>
          <w:szCs w:val="19"/>
        </w:rPr>
        <w:t>Tratándose de bienes inmuebles no inscritos en el padrón catastral, cuando el contribuyente no haya declarado el valor comercial de su predio en los términos de la ley de la materia, debiendo solicitar la inscripción correspondiente en la Dirección de Catastro Estatal o en la Delegación de Catastro Municipal,</w:t>
      </w:r>
    </w:p>
    <w:p w:rsidR="006C446D" w:rsidRPr="001C3BBF" w:rsidRDefault="006C446D" w:rsidP="006C446D">
      <w:pPr>
        <w:pStyle w:val="Prrafodelista"/>
        <w:numPr>
          <w:ilvl w:val="0"/>
          <w:numId w:val="3"/>
        </w:numPr>
        <w:spacing w:after="0" w:line="240" w:lineRule="auto"/>
        <w:jc w:val="both"/>
        <w:rPr>
          <w:rFonts w:ascii="Gotham Book" w:hAnsi="Gotham Book" w:cs="Arial"/>
          <w:sz w:val="19"/>
          <w:szCs w:val="19"/>
        </w:rPr>
      </w:pPr>
      <w:r w:rsidRPr="001C3BBF">
        <w:rPr>
          <w:rFonts w:ascii="Gotham Book" w:hAnsi="Gotham Book" w:cs="Arial"/>
          <w:sz w:val="19"/>
          <w:szCs w:val="19"/>
        </w:rPr>
        <w:t>Cuando el valor comercial declarado por el contribuyente sea menor, en más de un diez por ciento, del valor catastral; la autoridad encargada de las finanzas públicas en uso de su facultad de verificación, deberá fijar el valor comercial del predio mediante avalúo practicado por Perito Valuador con registro en el Estado.</w:t>
      </w:r>
    </w:p>
    <w:p w:rsidR="006C446D" w:rsidRPr="001C3BBF" w:rsidRDefault="006C446D" w:rsidP="006C446D">
      <w:pPr>
        <w:spacing w:after="0" w:line="240" w:lineRule="auto"/>
        <w:jc w:val="both"/>
        <w:rPr>
          <w:rFonts w:ascii="Gotham Book" w:hAnsi="Gotham Book" w:cs="Arial"/>
          <w:sz w:val="19"/>
          <w:szCs w:val="19"/>
        </w:rPr>
      </w:pPr>
    </w:p>
    <w:p w:rsidR="006C446D" w:rsidRPr="001C3BBF" w:rsidRDefault="006C446D" w:rsidP="006C446D">
      <w:pPr>
        <w:pStyle w:val="Prrafodelista"/>
        <w:numPr>
          <w:ilvl w:val="0"/>
          <w:numId w:val="2"/>
        </w:numPr>
        <w:spacing w:after="0" w:line="240" w:lineRule="auto"/>
        <w:jc w:val="both"/>
        <w:rPr>
          <w:rFonts w:ascii="Gotham Book" w:hAnsi="Gotham Book" w:cs="Arial"/>
          <w:sz w:val="19"/>
          <w:szCs w:val="19"/>
        </w:rPr>
      </w:pPr>
      <w:r w:rsidRPr="001C3BBF">
        <w:rPr>
          <w:rFonts w:ascii="Gotham Book" w:hAnsi="Gotham Book" w:cs="Arial"/>
          <w:sz w:val="19"/>
          <w:szCs w:val="19"/>
        </w:rPr>
        <w:t xml:space="preserve">Fijar estimativamente el valor comercial del predio, a través del avalúo, en los casos que el propietario o poseedor impida el acceso del valuador al inmueble objeto de este Impuesto; </w:t>
      </w:r>
    </w:p>
    <w:p w:rsidR="006C446D" w:rsidRPr="001C3BBF" w:rsidRDefault="006C446D" w:rsidP="006C446D">
      <w:pPr>
        <w:pStyle w:val="Prrafodelista"/>
        <w:spacing w:after="0" w:line="240" w:lineRule="auto"/>
        <w:jc w:val="both"/>
        <w:rPr>
          <w:rFonts w:ascii="Gotham Book" w:hAnsi="Gotham Book" w:cs="Arial"/>
          <w:sz w:val="19"/>
          <w:szCs w:val="19"/>
        </w:rPr>
      </w:pPr>
    </w:p>
    <w:p w:rsidR="006C446D" w:rsidRPr="001C3BBF" w:rsidRDefault="006C446D" w:rsidP="006C446D">
      <w:pPr>
        <w:pStyle w:val="Prrafodelista"/>
        <w:numPr>
          <w:ilvl w:val="0"/>
          <w:numId w:val="2"/>
        </w:numPr>
        <w:spacing w:after="0" w:line="240" w:lineRule="auto"/>
        <w:jc w:val="both"/>
        <w:rPr>
          <w:rFonts w:ascii="Gotham Book" w:hAnsi="Gotham Book" w:cs="Arial"/>
          <w:sz w:val="19"/>
          <w:szCs w:val="19"/>
        </w:rPr>
      </w:pPr>
      <w:r w:rsidRPr="001C3BBF">
        <w:rPr>
          <w:rFonts w:ascii="Gotham Book" w:hAnsi="Gotham Book" w:cs="Arial"/>
          <w:sz w:val="19"/>
          <w:szCs w:val="19"/>
        </w:rPr>
        <w:t>Requerir el pago de cantidades omitidas por concepto de este impuesto; a través del procedimiento administrativo de ejecución en los términos de las leyes fiscales relativas;</w:t>
      </w:r>
    </w:p>
    <w:p w:rsidR="006C446D" w:rsidRPr="001C3BBF" w:rsidRDefault="006C446D" w:rsidP="006C446D">
      <w:pPr>
        <w:pStyle w:val="Prrafodelista"/>
        <w:spacing w:after="0" w:line="240" w:lineRule="auto"/>
        <w:jc w:val="both"/>
        <w:rPr>
          <w:rFonts w:ascii="Gotham Book" w:hAnsi="Gotham Book" w:cs="Arial"/>
          <w:sz w:val="19"/>
          <w:szCs w:val="19"/>
        </w:rPr>
      </w:pPr>
    </w:p>
    <w:p w:rsidR="006C446D" w:rsidRPr="001C3BBF" w:rsidRDefault="006C446D" w:rsidP="006C446D">
      <w:pPr>
        <w:pStyle w:val="Prrafodelista"/>
        <w:numPr>
          <w:ilvl w:val="0"/>
          <w:numId w:val="2"/>
        </w:numPr>
        <w:spacing w:after="0" w:line="240" w:lineRule="auto"/>
        <w:jc w:val="both"/>
        <w:rPr>
          <w:rFonts w:ascii="Gotham Book" w:hAnsi="Gotham Book" w:cs="Arial"/>
          <w:sz w:val="19"/>
          <w:szCs w:val="19"/>
        </w:rPr>
      </w:pPr>
      <w:r w:rsidRPr="001C3BBF">
        <w:rPr>
          <w:rFonts w:ascii="Gotham Book" w:hAnsi="Gotham Book" w:cs="Arial"/>
          <w:sz w:val="19"/>
          <w:szCs w:val="19"/>
        </w:rPr>
        <w:t>Designar a los Peritos Valuadores con registro en el Estado que deben practicar los avalúos de predios conforme al presente ordenamiento;</w:t>
      </w:r>
    </w:p>
    <w:p w:rsidR="006C446D" w:rsidRPr="001C3BBF" w:rsidRDefault="006C446D" w:rsidP="006C446D">
      <w:pPr>
        <w:pStyle w:val="Prrafodelista"/>
        <w:numPr>
          <w:ilvl w:val="0"/>
          <w:numId w:val="2"/>
        </w:numPr>
        <w:spacing w:after="0" w:line="240" w:lineRule="auto"/>
        <w:jc w:val="both"/>
        <w:rPr>
          <w:rFonts w:ascii="Gotham Book" w:hAnsi="Gotham Book" w:cs="Arial"/>
          <w:sz w:val="19"/>
          <w:szCs w:val="19"/>
        </w:rPr>
      </w:pPr>
      <w:r w:rsidRPr="001C3BBF">
        <w:rPr>
          <w:rFonts w:ascii="Gotham Book" w:hAnsi="Gotham Book" w:cs="Arial"/>
          <w:sz w:val="19"/>
          <w:szCs w:val="19"/>
        </w:rPr>
        <w:t>Imponer las sanciones administrativas por infracciones a esta Ley;</w:t>
      </w:r>
    </w:p>
    <w:p w:rsidR="006C446D" w:rsidRPr="001C3BBF" w:rsidRDefault="006C446D" w:rsidP="006C446D">
      <w:pPr>
        <w:pStyle w:val="Prrafodelista"/>
        <w:spacing w:after="0" w:line="240" w:lineRule="auto"/>
        <w:jc w:val="both"/>
        <w:rPr>
          <w:rFonts w:ascii="Gotham Book" w:hAnsi="Gotham Book" w:cs="Arial"/>
          <w:sz w:val="19"/>
          <w:szCs w:val="19"/>
        </w:rPr>
      </w:pPr>
    </w:p>
    <w:p w:rsidR="006C446D" w:rsidRPr="001C3BBF" w:rsidRDefault="006C446D" w:rsidP="006C446D">
      <w:pPr>
        <w:pStyle w:val="Prrafodelista"/>
        <w:numPr>
          <w:ilvl w:val="0"/>
          <w:numId w:val="2"/>
        </w:numPr>
        <w:spacing w:after="0" w:line="240" w:lineRule="auto"/>
        <w:jc w:val="both"/>
        <w:rPr>
          <w:rFonts w:ascii="Gotham Book" w:hAnsi="Gotham Book" w:cs="Arial"/>
          <w:sz w:val="19"/>
          <w:szCs w:val="19"/>
        </w:rPr>
      </w:pPr>
      <w:r w:rsidRPr="001C3BBF">
        <w:rPr>
          <w:rFonts w:ascii="Gotham Book" w:hAnsi="Gotham Book" w:cs="Arial"/>
          <w:sz w:val="19"/>
          <w:szCs w:val="19"/>
        </w:rPr>
        <w:t xml:space="preserve">Formular, ante las autoridades competentes, las denuncias o querellas por la presunta comisión de delitos fiscales; </w:t>
      </w:r>
    </w:p>
    <w:p w:rsidR="006C446D" w:rsidRPr="001C3BBF" w:rsidRDefault="006C446D" w:rsidP="006C446D">
      <w:pPr>
        <w:pStyle w:val="Prrafodelista"/>
        <w:spacing w:after="0" w:line="240" w:lineRule="auto"/>
        <w:jc w:val="both"/>
        <w:rPr>
          <w:rFonts w:ascii="Gotham Book" w:hAnsi="Gotham Book" w:cs="Arial"/>
          <w:sz w:val="19"/>
          <w:szCs w:val="19"/>
        </w:rPr>
      </w:pPr>
    </w:p>
    <w:p w:rsidR="006C446D" w:rsidRPr="001C3BBF" w:rsidRDefault="006C446D" w:rsidP="006C446D">
      <w:pPr>
        <w:pStyle w:val="Prrafodelista"/>
        <w:numPr>
          <w:ilvl w:val="0"/>
          <w:numId w:val="2"/>
        </w:numPr>
        <w:spacing w:after="0" w:line="240" w:lineRule="auto"/>
        <w:jc w:val="both"/>
        <w:rPr>
          <w:rFonts w:ascii="Gotham Book" w:hAnsi="Gotham Book" w:cs="Arial"/>
          <w:sz w:val="19"/>
          <w:szCs w:val="19"/>
        </w:rPr>
      </w:pPr>
      <w:r w:rsidRPr="001C3BBF">
        <w:rPr>
          <w:rFonts w:ascii="Gotham Book" w:hAnsi="Gotham Book" w:cs="Arial"/>
          <w:sz w:val="19"/>
          <w:szCs w:val="19"/>
        </w:rPr>
        <w:t xml:space="preserve">Ejercer facultades de comprobación en términos de lo dispuesto en el Código Fiscal del Estado de Querétaro; y </w:t>
      </w:r>
    </w:p>
    <w:p w:rsidR="006C446D" w:rsidRPr="001C3BBF" w:rsidRDefault="006C446D" w:rsidP="006C446D">
      <w:pPr>
        <w:pStyle w:val="Prrafodelista"/>
        <w:spacing w:after="0" w:line="240" w:lineRule="auto"/>
        <w:jc w:val="both"/>
        <w:rPr>
          <w:rFonts w:ascii="Gotham Book" w:hAnsi="Gotham Book" w:cs="Arial"/>
          <w:sz w:val="19"/>
          <w:szCs w:val="19"/>
        </w:rPr>
      </w:pPr>
    </w:p>
    <w:p w:rsidR="006C446D" w:rsidRPr="001C3BBF" w:rsidRDefault="006C446D" w:rsidP="006C446D">
      <w:pPr>
        <w:pStyle w:val="Prrafodelista"/>
        <w:numPr>
          <w:ilvl w:val="0"/>
          <w:numId w:val="2"/>
        </w:numPr>
        <w:spacing w:after="0" w:line="240" w:lineRule="auto"/>
        <w:jc w:val="both"/>
        <w:rPr>
          <w:rFonts w:ascii="Gotham Book" w:hAnsi="Gotham Book" w:cs="Arial"/>
          <w:sz w:val="19"/>
          <w:szCs w:val="19"/>
        </w:rPr>
      </w:pPr>
      <w:r w:rsidRPr="001C3BBF">
        <w:rPr>
          <w:rFonts w:ascii="Gotham Book" w:hAnsi="Gotham Book" w:cs="Arial"/>
          <w:sz w:val="19"/>
          <w:szCs w:val="19"/>
        </w:rPr>
        <w:t>Determinar diferencias por concepto de impuesto predial derivadas de omisiones imputables al contribuyente.</w:t>
      </w:r>
    </w:p>
    <w:p w:rsidR="006C446D" w:rsidRPr="001C3BBF" w:rsidRDefault="006C446D" w:rsidP="006C446D">
      <w:pPr>
        <w:spacing w:after="0" w:line="240" w:lineRule="auto"/>
        <w:ind w:hanging="34"/>
        <w:rPr>
          <w:rFonts w:ascii="Gotham Book" w:hAnsi="Gotham Book" w:cs="Arial"/>
          <w:sz w:val="19"/>
          <w:szCs w:val="19"/>
        </w:rPr>
      </w:pPr>
    </w:p>
    <w:p w:rsidR="006C446D" w:rsidRPr="001C3BBF" w:rsidRDefault="006C446D" w:rsidP="006C446D">
      <w:pPr>
        <w:pStyle w:val="Prrafodelista"/>
        <w:numPr>
          <w:ilvl w:val="0"/>
          <w:numId w:val="1"/>
        </w:numPr>
        <w:spacing w:after="0" w:line="240" w:lineRule="auto"/>
        <w:jc w:val="both"/>
        <w:rPr>
          <w:rFonts w:ascii="Gotham Book" w:hAnsi="Gotham Book" w:cs="Arial"/>
          <w:sz w:val="19"/>
          <w:szCs w:val="19"/>
        </w:rPr>
      </w:pPr>
      <w:r w:rsidRPr="001C3BBF">
        <w:rPr>
          <w:rFonts w:ascii="Gotham Book" w:hAnsi="Gotham Book" w:cs="Arial"/>
          <w:sz w:val="19"/>
          <w:szCs w:val="19"/>
        </w:rPr>
        <w:lastRenderedPageBreak/>
        <w:t>El incumplimiento a lo dispuesto en el presente artículo será sancionado conforme a lo dispuesto por la legislación fiscal aplicable.</w:t>
      </w:r>
    </w:p>
    <w:p w:rsidR="006C446D" w:rsidRPr="001C3BBF" w:rsidRDefault="006C446D" w:rsidP="006C446D">
      <w:pPr>
        <w:spacing w:after="0" w:line="240" w:lineRule="auto"/>
        <w:ind w:hanging="34"/>
        <w:rPr>
          <w:rFonts w:ascii="Gotham Book" w:hAnsi="Gotham Book" w:cs="Arial"/>
          <w:sz w:val="19"/>
          <w:szCs w:val="19"/>
        </w:rPr>
      </w:pPr>
      <w:r w:rsidRPr="001C3BBF">
        <w:rPr>
          <w:rFonts w:ascii="Gotham Book" w:hAnsi="Gotham Book" w:cs="Arial"/>
          <w:sz w:val="19"/>
          <w:szCs w:val="19"/>
        </w:rPr>
        <w:t xml:space="preserve"> </w:t>
      </w:r>
    </w:p>
    <w:p w:rsidR="006C446D" w:rsidRPr="001C3BBF" w:rsidRDefault="006C446D" w:rsidP="006C446D">
      <w:pPr>
        <w:spacing w:after="0" w:line="240" w:lineRule="auto"/>
        <w:ind w:hanging="34"/>
        <w:jc w:val="right"/>
        <w:rPr>
          <w:rFonts w:ascii="Gotham Book" w:hAnsi="Gotham Book" w:cs="Arial"/>
          <w:b/>
          <w:sz w:val="19"/>
          <w:szCs w:val="19"/>
        </w:rPr>
      </w:pPr>
      <w:r w:rsidRPr="001C3BBF">
        <w:rPr>
          <w:rFonts w:ascii="Gotham Book" w:hAnsi="Gotham Book" w:cs="Arial"/>
          <w:b/>
          <w:sz w:val="19"/>
          <w:szCs w:val="19"/>
        </w:rPr>
        <w:t>Ingreso anual estimado por este artículo $255,210,871.00</w:t>
      </w:r>
    </w:p>
    <w:p w:rsidR="006C446D" w:rsidRPr="001C3BBF" w:rsidRDefault="006C446D" w:rsidP="006C446D">
      <w:pPr>
        <w:spacing w:after="0" w:line="240" w:lineRule="auto"/>
        <w:ind w:hanging="34"/>
        <w:jc w:val="right"/>
        <w:rPr>
          <w:rFonts w:ascii="Gotham Book" w:hAnsi="Gotham Book" w:cs="Arial"/>
          <w:b/>
          <w:sz w:val="19"/>
          <w:szCs w:val="19"/>
        </w:rPr>
      </w:pPr>
    </w:p>
    <w:p w:rsidR="006C446D" w:rsidRPr="001C3BBF" w:rsidRDefault="006C446D" w:rsidP="006C446D">
      <w:pPr>
        <w:spacing w:after="0" w:line="240" w:lineRule="auto"/>
        <w:ind w:hanging="34"/>
        <w:rPr>
          <w:rFonts w:ascii="Gotham Book" w:hAnsi="Gotham Book" w:cs="Arial"/>
          <w:b/>
          <w:sz w:val="19"/>
          <w:szCs w:val="19"/>
        </w:rPr>
      </w:pPr>
    </w:p>
    <w:p w:rsidR="00AF67C3" w:rsidRDefault="001E4C02" w:rsidP="001E4C02">
      <w:pPr>
        <w:jc w:val="both"/>
        <w:rPr>
          <w:rFonts w:ascii="Gotham Book" w:hAnsi="Gotham Book"/>
          <w:sz w:val="19"/>
          <w:szCs w:val="19"/>
        </w:rPr>
      </w:pPr>
      <w:r w:rsidRPr="001C3BBF">
        <w:rPr>
          <w:rFonts w:ascii="Gotham Book" w:hAnsi="Gotham Book"/>
          <w:sz w:val="19"/>
          <w:szCs w:val="19"/>
        </w:rPr>
        <w:t>Ley de Ingresos del Municipio de Corregidora Querétaro para el ejercicio fiscal 2020, publicada en el periódico oficial del Estado de Querétaro “La Sombra de Arteaga”, el 23 de diciembre de 2019.</w:t>
      </w:r>
      <w:bookmarkStart w:id="0" w:name="_GoBack"/>
      <w:bookmarkEnd w:id="0"/>
    </w:p>
    <w:p w:rsidR="00AF67C3" w:rsidRPr="00AF67C3" w:rsidRDefault="00AF67C3" w:rsidP="00AF67C3">
      <w:pPr>
        <w:rPr>
          <w:rFonts w:ascii="Gotham Book" w:hAnsi="Gotham Book"/>
          <w:sz w:val="19"/>
          <w:szCs w:val="19"/>
        </w:rPr>
      </w:pPr>
    </w:p>
    <w:p w:rsidR="00AF67C3" w:rsidRPr="00AF67C3" w:rsidRDefault="00AF67C3" w:rsidP="00AF67C3">
      <w:pPr>
        <w:rPr>
          <w:rFonts w:ascii="Gotham Book" w:hAnsi="Gotham Book"/>
          <w:sz w:val="19"/>
          <w:szCs w:val="19"/>
        </w:rPr>
      </w:pPr>
    </w:p>
    <w:p w:rsidR="00AF67C3" w:rsidRPr="00AF67C3" w:rsidRDefault="00AF67C3" w:rsidP="00AF67C3">
      <w:pPr>
        <w:rPr>
          <w:rFonts w:ascii="Gotham Book" w:hAnsi="Gotham Book"/>
          <w:sz w:val="19"/>
          <w:szCs w:val="19"/>
        </w:rPr>
      </w:pPr>
    </w:p>
    <w:p w:rsidR="00AF67C3" w:rsidRPr="00AF67C3" w:rsidRDefault="00AF67C3" w:rsidP="00AF67C3">
      <w:pPr>
        <w:rPr>
          <w:rFonts w:ascii="Gotham Book" w:hAnsi="Gotham Book"/>
          <w:sz w:val="19"/>
          <w:szCs w:val="19"/>
        </w:rPr>
      </w:pPr>
    </w:p>
    <w:p w:rsidR="00AF67C3" w:rsidRPr="00AF67C3" w:rsidRDefault="00AF67C3" w:rsidP="00AF67C3">
      <w:pPr>
        <w:rPr>
          <w:rFonts w:ascii="Gotham Book" w:hAnsi="Gotham Book"/>
          <w:sz w:val="19"/>
          <w:szCs w:val="19"/>
        </w:rPr>
      </w:pPr>
    </w:p>
    <w:p w:rsidR="00AF67C3" w:rsidRPr="00AF67C3" w:rsidRDefault="00AF67C3" w:rsidP="00AF67C3">
      <w:pPr>
        <w:rPr>
          <w:rFonts w:ascii="Gotham Book" w:hAnsi="Gotham Book"/>
          <w:sz w:val="19"/>
          <w:szCs w:val="19"/>
        </w:rPr>
      </w:pPr>
    </w:p>
    <w:p w:rsidR="00AF67C3" w:rsidRPr="00AF67C3" w:rsidRDefault="00AF67C3" w:rsidP="00AF67C3">
      <w:pPr>
        <w:rPr>
          <w:rFonts w:ascii="Gotham Book" w:hAnsi="Gotham Book"/>
          <w:sz w:val="19"/>
          <w:szCs w:val="19"/>
        </w:rPr>
      </w:pPr>
    </w:p>
    <w:p w:rsidR="00AF67C3" w:rsidRPr="00AF67C3" w:rsidRDefault="00AF67C3" w:rsidP="00AF67C3">
      <w:pPr>
        <w:rPr>
          <w:rFonts w:ascii="Gotham Book" w:hAnsi="Gotham Book"/>
          <w:sz w:val="19"/>
          <w:szCs w:val="19"/>
        </w:rPr>
      </w:pPr>
    </w:p>
    <w:p w:rsidR="00AF67C3" w:rsidRPr="00AF67C3" w:rsidRDefault="00AF67C3" w:rsidP="00AF67C3">
      <w:pPr>
        <w:rPr>
          <w:rFonts w:ascii="Gotham Book" w:hAnsi="Gotham Book"/>
          <w:sz w:val="19"/>
          <w:szCs w:val="19"/>
        </w:rPr>
      </w:pPr>
    </w:p>
    <w:p w:rsidR="00AF67C3" w:rsidRPr="00AF67C3" w:rsidRDefault="00AF67C3" w:rsidP="00AF67C3">
      <w:pPr>
        <w:rPr>
          <w:rFonts w:ascii="Gotham Book" w:hAnsi="Gotham Book"/>
          <w:sz w:val="19"/>
          <w:szCs w:val="19"/>
        </w:rPr>
      </w:pPr>
    </w:p>
    <w:p w:rsidR="00AF67C3" w:rsidRPr="00AF67C3" w:rsidRDefault="00AF67C3" w:rsidP="00AF67C3">
      <w:pPr>
        <w:rPr>
          <w:rFonts w:ascii="Gotham Book" w:hAnsi="Gotham Book"/>
          <w:sz w:val="19"/>
          <w:szCs w:val="19"/>
        </w:rPr>
      </w:pPr>
    </w:p>
    <w:p w:rsidR="00AF67C3" w:rsidRPr="00AF67C3" w:rsidRDefault="00AF67C3" w:rsidP="00AF67C3">
      <w:pPr>
        <w:rPr>
          <w:rFonts w:ascii="Gotham Book" w:hAnsi="Gotham Book"/>
          <w:sz w:val="19"/>
          <w:szCs w:val="19"/>
        </w:rPr>
      </w:pPr>
    </w:p>
    <w:p w:rsidR="00AF67C3" w:rsidRPr="00AF67C3" w:rsidRDefault="00AF67C3" w:rsidP="00AF67C3">
      <w:pPr>
        <w:rPr>
          <w:rFonts w:ascii="Gotham Book" w:hAnsi="Gotham Book"/>
          <w:sz w:val="19"/>
          <w:szCs w:val="19"/>
        </w:rPr>
      </w:pPr>
    </w:p>
    <w:p w:rsidR="00AF67C3" w:rsidRPr="00AF67C3" w:rsidRDefault="00AF67C3" w:rsidP="00AF67C3">
      <w:pPr>
        <w:rPr>
          <w:rFonts w:ascii="Gotham Book" w:hAnsi="Gotham Book"/>
          <w:sz w:val="19"/>
          <w:szCs w:val="19"/>
        </w:rPr>
      </w:pPr>
    </w:p>
    <w:p w:rsidR="00AF67C3" w:rsidRPr="00AF67C3" w:rsidRDefault="00AF67C3" w:rsidP="00AF67C3">
      <w:pPr>
        <w:rPr>
          <w:rFonts w:ascii="Gotham Book" w:hAnsi="Gotham Book"/>
          <w:sz w:val="19"/>
          <w:szCs w:val="19"/>
        </w:rPr>
      </w:pPr>
    </w:p>
    <w:p w:rsidR="00AF67C3" w:rsidRPr="00AF67C3" w:rsidRDefault="00AF67C3" w:rsidP="00AF67C3">
      <w:pPr>
        <w:rPr>
          <w:rFonts w:ascii="Gotham Book" w:hAnsi="Gotham Book"/>
          <w:sz w:val="19"/>
          <w:szCs w:val="19"/>
        </w:rPr>
      </w:pPr>
    </w:p>
    <w:p w:rsidR="00AF67C3" w:rsidRPr="00AF67C3" w:rsidRDefault="00AF67C3" w:rsidP="00AF67C3">
      <w:pPr>
        <w:rPr>
          <w:rFonts w:ascii="Gotham Book" w:hAnsi="Gotham Book"/>
          <w:sz w:val="19"/>
          <w:szCs w:val="19"/>
        </w:rPr>
      </w:pPr>
    </w:p>
    <w:p w:rsidR="00AF67C3" w:rsidRPr="00AF67C3" w:rsidRDefault="00AF67C3" w:rsidP="00AF67C3">
      <w:pPr>
        <w:rPr>
          <w:rFonts w:ascii="Gotham Book" w:hAnsi="Gotham Book"/>
          <w:sz w:val="19"/>
          <w:szCs w:val="19"/>
        </w:rPr>
      </w:pPr>
    </w:p>
    <w:p w:rsidR="00AF67C3" w:rsidRPr="00AF67C3" w:rsidRDefault="00AF67C3" w:rsidP="00AF67C3">
      <w:pPr>
        <w:rPr>
          <w:rFonts w:ascii="Gotham Book" w:hAnsi="Gotham Book"/>
          <w:sz w:val="19"/>
          <w:szCs w:val="19"/>
        </w:rPr>
      </w:pPr>
    </w:p>
    <w:p w:rsidR="00AF67C3" w:rsidRPr="00AF67C3" w:rsidRDefault="00AF67C3" w:rsidP="00AF67C3">
      <w:pPr>
        <w:rPr>
          <w:rFonts w:ascii="Gotham Book" w:hAnsi="Gotham Book"/>
          <w:sz w:val="19"/>
          <w:szCs w:val="19"/>
        </w:rPr>
      </w:pPr>
    </w:p>
    <w:p w:rsidR="00AF67C3" w:rsidRPr="00AF67C3" w:rsidRDefault="00AF67C3" w:rsidP="00AF67C3">
      <w:pPr>
        <w:rPr>
          <w:rFonts w:ascii="Gotham Book" w:hAnsi="Gotham Book"/>
          <w:sz w:val="19"/>
          <w:szCs w:val="19"/>
        </w:rPr>
      </w:pPr>
    </w:p>
    <w:p w:rsidR="00AF67C3" w:rsidRPr="00AF67C3" w:rsidRDefault="00AF67C3" w:rsidP="00AF67C3">
      <w:pPr>
        <w:rPr>
          <w:rFonts w:ascii="Gotham Book" w:hAnsi="Gotham Book"/>
          <w:sz w:val="19"/>
          <w:szCs w:val="19"/>
        </w:rPr>
      </w:pPr>
    </w:p>
    <w:p w:rsidR="00AF67C3" w:rsidRDefault="00AF67C3" w:rsidP="00AF67C3">
      <w:pPr>
        <w:rPr>
          <w:rFonts w:ascii="Gotham Book" w:hAnsi="Gotham Book"/>
          <w:sz w:val="19"/>
          <w:szCs w:val="19"/>
        </w:rPr>
      </w:pPr>
    </w:p>
    <w:p w:rsidR="00AF67C3" w:rsidRPr="00AF67C3" w:rsidRDefault="00AF67C3" w:rsidP="00AF67C3">
      <w:pPr>
        <w:rPr>
          <w:rFonts w:ascii="Gotham Book" w:hAnsi="Gotham Book"/>
          <w:sz w:val="19"/>
          <w:szCs w:val="19"/>
        </w:rPr>
      </w:pPr>
    </w:p>
    <w:p w:rsidR="00AF67C3" w:rsidRPr="00AF67C3" w:rsidRDefault="00AF67C3" w:rsidP="00AF67C3">
      <w:pPr>
        <w:rPr>
          <w:rFonts w:ascii="Gotham Book" w:hAnsi="Gotham Book"/>
          <w:sz w:val="19"/>
          <w:szCs w:val="19"/>
        </w:rPr>
      </w:pPr>
    </w:p>
    <w:p w:rsidR="00AF67C3" w:rsidRPr="00AF67C3" w:rsidRDefault="00AF67C3" w:rsidP="00AF67C3">
      <w:pPr>
        <w:rPr>
          <w:rFonts w:ascii="Gotham Book" w:hAnsi="Gotham Book"/>
          <w:sz w:val="19"/>
          <w:szCs w:val="19"/>
        </w:rPr>
      </w:pPr>
    </w:p>
    <w:p w:rsidR="00AF67C3" w:rsidRPr="00AF67C3" w:rsidRDefault="00AF67C3" w:rsidP="00AF67C3">
      <w:pPr>
        <w:rPr>
          <w:rFonts w:ascii="Gotham Book" w:hAnsi="Gotham Book"/>
          <w:sz w:val="19"/>
          <w:szCs w:val="19"/>
        </w:rPr>
      </w:pPr>
    </w:p>
    <w:p w:rsidR="006C446D" w:rsidRPr="00AF67C3" w:rsidRDefault="006C446D" w:rsidP="00AF67C3">
      <w:pPr>
        <w:rPr>
          <w:rFonts w:ascii="Gotham Book" w:hAnsi="Gotham Book"/>
          <w:sz w:val="19"/>
          <w:szCs w:val="19"/>
        </w:rPr>
      </w:pPr>
    </w:p>
    <w:sectPr w:rsidR="006C446D" w:rsidRPr="00AF67C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6F2" w:rsidRDefault="009826F2" w:rsidP="006C446D">
      <w:pPr>
        <w:spacing w:after="0" w:line="240" w:lineRule="auto"/>
      </w:pPr>
      <w:r>
        <w:separator/>
      </w:r>
    </w:p>
  </w:endnote>
  <w:endnote w:type="continuationSeparator" w:id="0">
    <w:p w:rsidR="009826F2" w:rsidRDefault="009826F2" w:rsidP="006C4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02" w:rsidRPr="001E4C02" w:rsidRDefault="001E4C02" w:rsidP="001E4C02">
    <w:pPr>
      <w:pStyle w:val="Piedepgina"/>
      <w:jc w:val="center"/>
      <w:rPr>
        <w:rFonts w:ascii="Gotham Book" w:hAnsi="Gotham Book"/>
        <w:color w:val="002060"/>
        <w:sz w:val="20"/>
      </w:rPr>
    </w:pPr>
    <w:r w:rsidRPr="001E4C02">
      <w:rPr>
        <w:rFonts w:ascii="Gotham Book" w:hAnsi="Gotham Book"/>
        <w:color w:val="002060"/>
        <w:sz w:val="20"/>
      </w:rPr>
      <w:t>Municipio de Corregidora 2018-2021</w:t>
    </w:r>
  </w:p>
  <w:p w:rsidR="001E4C02" w:rsidRPr="001E4C02" w:rsidRDefault="001E4C02" w:rsidP="001E4C02">
    <w:pPr>
      <w:pStyle w:val="Piedepgina"/>
      <w:jc w:val="center"/>
      <w:rPr>
        <w:rFonts w:ascii="Gotham Book" w:hAnsi="Gotham Book"/>
        <w:color w:val="002060"/>
        <w:sz w:val="20"/>
      </w:rPr>
    </w:pPr>
  </w:p>
  <w:p w:rsidR="001E4C02" w:rsidRPr="001E4C02" w:rsidRDefault="001E4C02" w:rsidP="001E4C02">
    <w:pPr>
      <w:pStyle w:val="Piedepgina"/>
      <w:jc w:val="center"/>
      <w:rPr>
        <w:rFonts w:ascii="Gotham Book" w:hAnsi="Gotham Book"/>
        <w:color w:val="002060"/>
        <w:sz w:val="20"/>
      </w:rPr>
    </w:pPr>
    <w:r w:rsidRPr="001E4C02">
      <w:rPr>
        <w:rFonts w:ascii="Gotham Book" w:hAnsi="Gotham Book"/>
        <w:color w:val="002060"/>
        <w:sz w:val="20"/>
      </w:rPr>
      <w:t>Calle Ex Hacienda El Cerrito No. 100</w:t>
    </w:r>
  </w:p>
  <w:p w:rsidR="001E4C02" w:rsidRPr="001E4C02" w:rsidRDefault="001E4C02" w:rsidP="001E4C02">
    <w:pPr>
      <w:pStyle w:val="Piedepgina"/>
      <w:jc w:val="center"/>
      <w:rPr>
        <w:rFonts w:ascii="Gotham Book" w:hAnsi="Gotham Book"/>
        <w:color w:val="002060"/>
        <w:sz w:val="20"/>
      </w:rPr>
    </w:pPr>
    <w:r w:rsidRPr="001E4C02">
      <w:rPr>
        <w:rFonts w:ascii="Gotham Book" w:hAnsi="Gotham Book"/>
        <w:color w:val="002060"/>
        <w:sz w:val="20"/>
      </w:rPr>
      <w:t>Col. El Pueblito, Corregidora. C.P. 76900</w:t>
    </w:r>
  </w:p>
  <w:p w:rsidR="001E4C02" w:rsidRPr="001E4C02" w:rsidRDefault="001E4C02" w:rsidP="001E4C02">
    <w:pPr>
      <w:pStyle w:val="Piedepgina"/>
      <w:jc w:val="center"/>
      <w:rPr>
        <w:rFonts w:ascii="Gotham Book" w:hAnsi="Gotham Book"/>
        <w:color w:val="002060"/>
        <w:sz w:val="20"/>
      </w:rPr>
    </w:pPr>
    <w:r w:rsidRPr="001E4C02">
      <w:rPr>
        <w:rFonts w:ascii="Gotham Book" w:hAnsi="Gotham Book"/>
        <w:color w:val="002060"/>
        <w:sz w:val="20"/>
      </w:rPr>
      <w:t>www.corregidora.gob.mx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6F2" w:rsidRDefault="009826F2" w:rsidP="006C446D">
      <w:pPr>
        <w:spacing w:after="0" w:line="240" w:lineRule="auto"/>
      </w:pPr>
      <w:r>
        <w:separator/>
      </w:r>
    </w:p>
  </w:footnote>
  <w:footnote w:type="continuationSeparator" w:id="0">
    <w:p w:rsidR="009826F2" w:rsidRDefault="009826F2" w:rsidP="006C4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46D" w:rsidRPr="006C446D" w:rsidRDefault="006C446D" w:rsidP="006C446D">
    <w:pPr>
      <w:pStyle w:val="Encabezado"/>
      <w:jc w:val="center"/>
      <w:rPr>
        <w:sz w:val="21"/>
        <w:szCs w:val="21"/>
      </w:rPr>
    </w:pPr>
    <w:r w:rsidRPr="006C446D">
      <w:rPr>
        <w:rFonts w:ascii="Gotham Book" w:hAnsi="Gotham Book"/>
        <w:b/>
        <w:noProof/>
        <w:color w:val="0070C0"/>
        <w:sz w:val="21"/>
        <w:szCs w:val="21"/>
        <w:lang w:eastAsia="es-MX"/>
      </w:rPr>
      <w:drawing>
        <wp:anchor distT="0" distB="0" distL="114300" distR="114300" simplePos="0" relativeHeight="251658240" behindDoc="1" locked="0" layoutInCell="1" allowOverlap="1" wp14:anchorId="3DF5DCA3" wp14:editId="1C1E26FE">
          <wp:simplePos x="0" y="0"/>
          <wp:positionH relativeFrom="margin">
            <wp:align>center</wp:align>
          </wp:positionH>
          <wp:positionV relativeFrom="paragraph">
            <wp:posOffset>-335915</wp:posOffset>
          </wp:positionV>
          <wp:extent cx="1257300" cy="869950"/>
          <wp:effectExtent l="0" t="0" r="0" b="6350"/>
          <wp:wrapTopAndBottom/>
          <wp:docPr id="1" name="Imagen 1" descr="C:\Users\guest\Downloads\WhatsApp Image 2021-07-13 at 14.00.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est\Downloads\WhatsApp Image 2021-07-13 at 14.00.27.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869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446D" w:rsidRPr="006C446D" w:rsidRDefault="006C446D" w:rsidP="006C446D">
    <w:pPr>
      <w:pStyle w:val="Encabezado"/>
      <w:jc w:val="center"/>
      <w:rPr>
        <w:rFonts w:ascii="Gotham Book" w:hAnsi="Gotham Book"/>
        <w:b/>
        <w:color w:val="0070C0"/>
        <w:sz w:val="21"/>
        <w:szCs w:val="21"/>
      </w:rPr>
    </w:pPr>
    <w:r w:rsidRPr="006C446D">
      <w:rPr>
        <w:rFonts w:ascii="Gotham Book" w:hAnsi="Gotham Book"/>
        <w:b/>
        <w:color w:val="0070C0"/>
        <w:sz w:val="21"/>
        <w:szCs w:val="21"/>
      </w:rPr>
      <w:t>SECRETARÍA DE TESORERÍA FINANZAS</w:t>
    </w:r>
  </w:p>
  <w:p w:rsidR="006C446D" w:rsidRPr="006C446D" w:rsidRDefault="006C446D" w:rsidP="006C446D">
    <w:pPr>
      <w:pStyle w:val="Encabezado"/>
      <w:jc w:val="center"/>
      <w:rPr>
        <w:rFonts w:ascii="Gotham Book" w:hAnsi="Gotham Book"/>
        <w:b/>
        <w:color w:val="0070C0"/>
        <w:sz w:val="21"/>
        <w:szCs w:val="21"/>
      </w:rPr>
    </w:pPr>
    <w:r w:rsidRPr="006C446D">
      <w:rPr>
        <w:rFonts w:ascii="Gotham Book" w:hAnsi="Gotham Book"/>
        <w:b/>
        <w:color w:val="0070C0"/>
        <w:sz w:val="21"/>
        <w:szCs w:val="21"/>
      </w:rPr>
      <w:t>DIRECCIÓN DE INGRESOS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D44C2"/>
    <w:multiLevelType w:val="hybridMultilevel"/>
    <w:tmpl w:val="A66AA3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7EA12EB"/>
    <w:multiLevelType w:val="hybridMultilevel"/>
    <w:tmpl w:val="192C0B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E880391"/>
    <w:multiLevelType w:val="hybridMultilevel"/>
    <w:tmpl w:val="99CCC0A8"/>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46D"/>
    <w:rsid w:val="001C3BBF"/>
    <w:rsid w:val="001E4C02"/>
    <w:rsid w:val="006C446D"/>
    <w:rsid w:val="009826F2"/>
    <w:rsid w:val="00A32C52"/>
    <w:rsid w:val="00AF67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F30D8"/>
  <w15:chartTrackingRefBased/>
  <w15:docId w15:val="{92415BFA-758F-4507-827D-AC1C8D6D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44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446D"/>
  </w:style>
  <w:style w:type="paragraph" w:styleId="Piedepgina">
    <w:name w:val="footer"/>
    <w:basedOn w:val="Normal"/>
    <w:link w:val="PiedepginaCar"/>
    <w:uiPriority w:val="99"/>
    <w:unhideWhenUsed/>
    <w:rsid w:val="006C44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446D"/>
  </w:style>
  <w:style w:type="table" w:styleId="Tablaconcuadrcula">
    <w:name w:val="Table Grid"/>
    <w:basedOn w:val="Tablanormal"/>
    <w:uiPriority w:val="39"/>
    <w:rsid w:val="006C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2,Celda"/>
    <w:basedOn w:val="Normal"/>
    <w:link w:val="PrrafodelistaCar"/>
    <w:uiPriority w:val="34"/>
    <w:qFormat/>
    <w:rsid w:val="006C446D"/>
    <w:pPr>
      <w:ind w:left="720"/>
      <w:contextualSpacing/>
    </w:pPr>
  </w:style>
  <w:style w:type="character" w:customStyle="1" w:styleId="PrrafodelistaCar">
    <w:name w:val="Párrafo de lista Car"/>
    <w:aliases w:val="Párrafo de lista 2 Car,Celda Car"/>
    <w:link w:val="Prrafodelista"/>
    <w:uiPriority w:val="34"/>
    <w:locked/>
    <w:rsid w:val="006C4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1208</Words>
  <Characters>6646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 Externo</dc:creator>
  <cp:keywords/>
  <dc:description/>
  <cp:lastModifiedBy>Invitado Externo</cp:lastModifiedBy>
  <cp:revision>4</cp:revision>
  <cp:lastPrinted>2021-07-13T19:17:00Z</cp:lastPrinted>
  <dcterms:created xsi:type="dcterms:W3CDTF">2021-07-13T18:59:00Z</dcterms:created>
  <dcterms:modified xsi:type="dcterms:W3CDTF">2021-07-13T19:26:00Z</dcterms:modified>
</cp:coreProperties>
</file>