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EE3623" w:rsidRDefault="0083461A" w:rsidP="0032250B">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 QUERÉTARO</w:t>
      </w:r>
    </w:p>
    <w:p w14:paraId="59F1709C" w14:textId="77777777" w:rsidR="001F5BE7" w:rsidRDefault="001F5BE7" w:rsidP="001F5BE7">
      <w:pPr>
        <w:spacing w:after="0" w:line="240" w:lineRule="auto"/>
        <w:jc w:val="center"/>
        <w:rPr>
          <w:rFonts w:ascii="Arial" w:hAnsi="Arial" w:cs="Arial"/>
          <w:b/>
          <w:color w:val="002060"/>
          <w:sz w:val="28"/>
        </w:rPr>
      </w:pPr>
      <w:r w:rsidRPr="00E26C0A">
        <w:rPr>
          <w:rFonts w:ascii="Arial" w:hAnsi="Arial" w:cs="Arial"/>
          <w:b/>
          <w:color w:val="002060"/>
          <w:sz w:val="24"/>
        </w:rPr>
        <w:t>Secretaría de Tesorería y Finanzas</w:t>
      </w:r>
    </w:p>
    <w:p w14:paraId="75F916B5" w14:textId="37DC6693" w:rsidR="001F5BE7" w:rsidRDefault="001F5BE7" w:rsidP="001F5BE7">
      <w:pPr>
        <w:spacing w:after="0" w:line="240" w:lineRule="auto"/>
        <w:jc w:val="center"/>
        <w:rPr>
          <w:rFonts w:ascii="Arial" w:hAnsi="Arial" w:cs="Arial"/>
          <w:b/>
          <w:color w:val="002060"/>
          <w:sz w:val="20"/>
        </w:rPr>
      </w:pPr>
      <w:r w:rsidRPr="00E26C0A">
        <w:rPr>
          <w:rFonts w:ascii="Arial" w:hAnsi="Arial" w:cs="Arial"/>
          <w:b/>
          <w:color w:val="002060"/>
          <w:sz w:val="20"/>
        </w:rPr>
        <w:t>Dirección de Egresos</w:t>
      </w:r>
    </w:p>
    <w:p w14:paraId="1D57D877" w14:textId="77777777" w:rsidR="001F5BE7" w:rsidRPr="00E840EE" w:rsidRDefault="001F5BE7" w:rsidP="001F5BE7">
      <w:pPr>
        <w:spacing w:after="0" w:line="240" w:lineRule="auto"/>
        <w:jc w:val="center"/>
        <w:rPr>
          <w:rFonts w:ascii="Arial" w:eastAsia="Times New Roman" w:hAnsi="Arial" w:cs="Arial"/>
          <w:b/>
          <w:color w:val="002060"/>
          <w:sz w:val="18"/>
          <w:szCs w:val="18"/>
          <w:lang w:eastAsia="es-MX"/>
        </w:rPr>
      </w:pPr>
    </w:p>
    <w:p w14:paraId="7E29554B" w14:textId="57DEF3CC" w:rsidR="00EE3623" w:rsidRPr="001F5BE7" w:rsidRDefault="009F158F" w:rsidP="001F5BE7">
      <w:pPr>
        <w:spacing w:after="0" w:line="240" w:lineRule="auto"/>
        <w:jc w:val="center"/>
        <w:rPr>
          <w:rFonts w:ascii="Times New Roman" w:eastAsia="Times New Roman" w:hAnsi="Times New Roman" w:cs="Times New Roman"/>
          <w:b/>
          <w:sz w:val="24"/>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57186B" w:rsidRPr="00EE3623">
        <w:rPr>
          <w:rFonts w:ascii="Arial" w:eastAsia="Times New Roman" w:hAnsi="Arial" w:cs="Arial"/>
          <w:b/>
          <w:color w:val="002060"/>
          <w:szCs w:val="24"/>
          <w:lang w:eastAsia="es-MX"/>
        </w:rPr>
        <w:t>31</w:t>
      </w:r>
      <w:r w:rsidR="00842549" w:rsidRPr="00EE3623">
        <w:rPr>
          <w:rFonts w:ascii="Arial" w:eastAsia="Times New Roman" w:hAnsi="Arial" w:cs="Arial"/>
          <w:b/>
          <w:color w:val="002060"/>
          <w:szCs w:val="24"/>
          <w:lang w:eastAsia="es-MX"/>
        </w:rPr>
        <w:t xml:space="preserve"> de </w:t>
      </w:r>
      <w:r w:rsidR="0057186B" w:rsidRPr="00EE3623">
        <w:rPr>
          <w:rFonts w:ascii="Arial" w:eastAsia="Times New Roman" w:hAnsi="Arial" w:cs="Arial"/>
          <w:b/>
          <w:color w:val="002060"/>
          <w:szCs w:val="24"/>
          <w:lang w:eastAsia="es-MX"/>
        </w:rPr>
        <w:t xml:space="preserve">Diciembre </w:t>
      </w:r>
      <w:r w:rsidR="00FC5A91" w:rsidRPr="00EE3623">
        <w:rPr>
          <w:rFonts w:ascii="Arial" w:eastAsia="Times New Roman" w:hAnsi="Arial" w:cs="Arial"/>
          <w:b/>
          <w:color w:val="002060"/>
          <w:szCs w:val="24"/>
          <w:lang w:eastAsia="es-MX"/>
        </w:rPr>
        <w:t xml:space="preserve">de </w:t>
      </w:r>
      <w:r w:rsidR="007C17BC" w:rsidRPr="00EE3623">
        <w:rPr>
          <w:rFonts w:ascii="Arial" w:eastAsia="Times New Roman" w:hAnsi="Arial" w:cs="Arial"/>
          <w:b/>
          <w:color w:val="002060"/>
          <w:szCs w:val="24"/>
          <w:lang w:eastAsia="es-MX"/>
        </w:rPr>
        <w:t>20</w:t>
      </w:r>
      <w:r w:rsidR="00EE3623" w:rsidRPr="00EE3623">
        <w:rPr>
          <w:rFonts w:ascii="Arial" w:eastAsia="Times New Roman" w:hAnsi="Arial" w:cs="Arial"/>
          <w:b/>
          <w:color w:val="002060"/>
          <w:szCs w:val="24"/>
          <w:lang w:eastAsia="es-MX"/>
        </w:rPr>
        <w:t>21</w:t>
      </w:r>
    </w:p>
    <w:p w14:paraId="5BE3A83B" w14:textId="77777777" w:rsidR="00EE3623" w:rsidRDefault="00EE3623" w:rsidP="009F158F">
      <w:pPr>
        <w:spacing w:after="0" w:line="240" w:lineRule="auto"/>
        <w:rPr>
          <w:rFonts w:ascii="Arial" w:eastAsia="Times New Roman" w:hAnsi="Arial" w:cs="Arial"/>
          <w:b/>
          <w:bCs/>
          <w:sz w:val="15"/>
          <w:szCs w:val="15"/>
          <w:u w:val="single"/>
          <w:lang w:eastAsia="es-MX"/>
        </w:rPr>
      </w:pPr>
    </w:p>
    <w:p w14:paraId="68114B13" w14:textId="4C01D8FE"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4897F113"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Información Contable.</w:t>
      </w:r>
      <w:r w:rsidRPr="00B3502E">
        <w:rPr>
          <w:rFonts w:ascii="Arial" w:eastAsia="Times New Roman" w:hAnsi="Arial" w:cs="Arial"/>
          <w:sz w:val="15"/>
          <w:szCs w:val="15"/>
          <w:lang w:eastAsia="es-MX"/>
        </w:rPr>
        <w:t xml:space="preserve"> </w:t>
      </w:r>
    </w:p>
    <w:p w14:paraId="35AB9BA2" w14:textId="1C636364" w:rsidR="00B3502E" w:rsidRPr="007A66C9"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7A66C9">
        <w:rPr>
          <w:rFonts w:ascii="Arial" w:eastAsia="Times New Roman" w:hAnsi="Arial" w:cs="Arial"/>
          <w:b/>
          <w:bCs/>
          <w:color w:val="000000" w:themeColor="text1"/>
          <w:sz w:val="15"/>
          <w:szCs w:val="15"/>
          <w:lang w:eastAsia="es-MX"/>
        </w:rPr>
        <w:t>Notas al Estado de Situación Financiera.</w:t>
      </w:r>
      <w:r w:rsidRPr="007A66C9">
        <w:rPr>
          <w:rFonts w:ascii="Arial" w:eastAsia="Times New Roman" w:hAnsi="Arial" w:cs="Arial"/>
          <w:color w:val="000000" w:themeColor="text1"/>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63D5EB46"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 y Equivalente</w:t>
      </w:r>
      <w:r w:rsidRPr="00B3502E">
        <w:rPr>
          <w:rFonts w:ascii="Arial" w:eastAsia="Times New Roman" w:hAnsi="Arial" w:cs="Arial"/>
          <w:sz w:val="15"/>
          <w:szCs w:val="15"/>
          <w:lang w:eastAsia="es-MX"/>
        </w:rPr>
        <w:t xml:space="preserve"> </w:t>
      </w:r>
    </w:p>
    <w:p w14:paraId="11169C8F" w14:textId="4729607F" w:rsidR="00B71ED9" w:rsidRDefault="00C232C4" w:rsidP="00B3502E">
      <w:pPr>
        <w:spacing w:before="100" w:beforeAutospacing="1" w:after="100" w:afterAutospacing="1" w:line="240" w:lineRule="auto"/>
        <w:jc w:val="both"/>
        <w:rPr>
          <w:rFonts w:ascii="Arial" w:eastAsia="Times New Roman" w:hAnsi="Arial" w:cs="Arial"/>
          <w:sz w:val="15"/>
          <w:szCs w:val="15"/>
          <w:lang w:eastAsia="es-MX"/>
        </w:rPr>
      </w:pPr>
      <w:r w:rsidRPr="00C232C4">
        <w:rPr>
          <w:noProof/>
          <w:lang w:eastAsia="es-MX"/>
        </w:rPr>
        <w:drawing>
          <wp:inline distT="0" distB="0" distL="0" distR="0" wp14:anchorId="331BFDDF" wp14:editId="5EDE13D7">
            <wp:extent cx="5612130" cy="779192"/>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79192"/>
                    </a:xfrm>
                    <a:prstGeom prst="rect">
                      <a:avLst/>
                    </a:prstGeom>
                    <a:noFill/>
                    <a:ln>
                      <a:noFill/>
                    </a:ln>
                  </pic:spPr>
                </pic:pic>
              </a:graphicData>
            </a:graphic>
          </wp:inline>
        </w:drawing>
      </w:r>
    </w:p>
    <w:p w14:paraId="435103F5" w14:textId="6BF33C55" w:rsidR="00410AAF" w:rsidRDefault="00410AAF"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La cuenta de </w:t>
      </w:r>
      <w:r w:rsidR="00AA64BA">
        <w:rPr>
          <w:rFonts w:ascii="Arial" w:eastAsia="Times New Roman" w:hAnsi="Arial" w:cs="Arial"/>
          <w:sz w:val="15"/>
          <w:szCs w:val="15"/>
          <w:lang w:eastAsia="es-MX"/>
        </w:rPr>
        <w:t xml:space="preserve">Efectivo corresponde </w:t>
      </w:r>
      <w:r>
        <w:rPr>
          <w:rFonts w:ascii="Arial" w:eastAsia="Times New Roman" w:hAnsi="Arial" w:cs="Arial"/>
          <w:sz w:val="15"/>
          <w:szCs w:val="15"/>
          <w:lang w:eastAsia="es-MX"/>
        </w:rPr>
        <w:t>a la operación de cajas de cobro</w:t>
      </w:r>
      <w:r w:rsidR="00AA64BA">
        <w:rPr>
          <w:rFonts w:ascii="Arial" w:eastAsia="Times New Roman" w:hAnsi="Arial" w:cs="Arial"/>
          <w:sz w:val="15"/>
          <w:szCs w:val="15"/>
          <w:lang w:eastAsia="es-MX"/>
        </w:rPr>
        <w:t xml:space="preserve"> del Municipio</w:t>
      </w:r>
    </w:p>
    <w:p w14:paraId="5F18B684" w14:textId="546FE00D" w:rsidR="00AA64BA" w:rsidRDefault="00AA64B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Se presenta un incremento en Efectivo y Equivalentes principalmente por la cuenta de Bancos/ Tesorería.</w:t>
      </w:r>
    </w:p>
    <w:p w14:paraId="3332D668" w14:textId="3739395D" w:rsidR="005A102B" w:rsidRDefault="00490F85" w:rsidP="00B3502E">
      <w:pPr>
        <w:spacing w:before="100" w:beforeAutospacing="1" w:after="100" w:afterAutospacing="1" w:line="240" w:lineRule="auto"/>
        <w:jc w:val="both"/>
        <w:rPr>
          <w:rFonts w:ascii="Arial" w:eastAsia="Times New Roman" w:hAnsi="Arial" w:cs="Arial"/>
          <w:b/>
          <w:bCs/>
          <w:sz w:val="15"/>
          <w:szCs w:val="15"/>
          <w:lang w:eastAsia="es-MX"/>
        </w:rPr>
      </w:pPr>
      <w:r w:rsidRPr="00490F85">
        <w:rPr>
          <w:noProof/>
          <w:lang w:eastAsia="es-MX"/>
        </w:rPr>
        <w:drawing>
          <wp:inline distT="0" distB="0" distL="0" distR="0" wp14:anchorId="20D83702" wp14:editId="61CFD969">
            <wp:extent cx="5612130" cy="1094413"/>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94413"/>
                    </a:xfrm>
                    <a:prstGeom prst="rect">
                      <a:avLst/>
                    </a:prstGeom>
                    <a:noFill/>
                    <a:ln>
                      <a:noFill/>
                    </a:ln>
                  </pic:spPr>
                </pic:pic>
              </a:graphicData>
            </a:graphic>
          </wp:inline>
        </w:drawing>
      </w:r>
    </w:p>
    <w:p w14:paraId="27B1AC01" w14:textId="77777777" w:rsidR="00D95215" w:rsidRPr="00F1410D" w:rsidRDefault="00D95215" w:rsidP="00D95215">
      <w:pPr>
        <w:spacing w:before="100" w:beforeAutospacing="1" w:after="100" w:afterAutospacing="1" w:line="240" w:lineRule="auto"/>
        <w:jc w:val="both"/>
        <w:rPr>
          <w:rFonts w:ascii="Arial" w:eastAsia="Times New Roman" w:hAnsi="Arial" w:cs="Arial"/>
          <w:color w:val="000000" w:themeColor="text1"/>
          <w:sz w:val="15"/>
          <w:szCs w:val="15"/>
          <w:highlight w:val="lightGray"/>
          <w:lang w:eastAsia="es-MX"/>
        </w:rPr>
      </w:pPr>
      <w:r w:rsidRPr="00F1410D">
        <w:rPr>
          <w:rFonts w:ascii="Arial" w:eastAsia="Times New Roman" w:hAnsi="Arial" w:cs="Arial"/>
          <w:color w:val="000000" w:themeColor="text1"/>
          <w:sz w:val="15"/>
          <w:szCs w:val="15"/>
          <w:lang w:eastAsia="es-MX"/>
        </w:rPr>
        <w:t>Así mismo el Municipio realiza inversiones financieras con recurso propio en instrumentos de inversión sin riesgo y a plazo fijo de hasta 3 meses de los montos que no requieren disponibilidad inmediata</w:t>
      </w:r>
      <w:r w:rsidRPr="00F1410D">
        <w:rPr>
          <w:rFonts w:ascii="Arial" w:eastAsia="Times New Roman" w:hAnsi="Arial" w:cs="Arial"/>
          <w:color w:val="000000" w:themeColor="text1"/>
          <w:sz w:val="15"/>
          <w:szCs w:val="15"/>
          <w:highlight w:val="lightGray"/>
          <w:lang w:eastAsia="es-MX"/>
        </w:rPr>
        <w:t>.</w:t>
      </w:r>
    </w:p>
    <w:p w14:paraId="158DD8B4" w14:textId="2D2B4492"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Derechos a Recibir Efectivo y Equivalentes</w:t>
      </w:r>
      <w:r w:rsidRPr="00B3502E">
        <w:rPr>
          <w:rFonts w:ascii="Arial" w:eastAsia="Times New Roman" w:hAnsi="Arial" w:cs="Arial"/>
          <w:sz w:val="15"/>
          <w:szCs w:val="15"/>
          <w:lang w:eastAsia="es-MX"/>
        </w:rPr>
        <w:t xml:space="preserve"> </w:t>
      </w:r>
    </w:p>
    <w:p w14:paraId="23088A89" w14:textId="71C6CC2F" w:rsidR="00A01052" w:rsidRDefault="000C1886" w:rsidP="00B3502E">
      <w:pPr>
        <w:spacing w:before="100" w:beforeAutospacing="1" w:after="100" w:afterAutospacing="1" w:line="240" w:lineRule="auto"/>
        <w:jc w:val="both"/>
        <w:rPr>
          <w:rFonts w:ascii="Arial" w:eastAsia="Times New Roman" w:hAnsi="Arial" w:cs="Arial"/>
          <w:sz w:val="15"/>
          <w:szCs w:val="15"/>
          <w:lang w:eastAsia="es-MX"/>
        </w:rPr>
      </w:pPr>
      <w:r w:rsidRPr="000C1886">
        <w:rPr>
          <w:noProof/>
          <w:lang w:eastAsia="es-MX"/>
        </w:rPr>
        <w:drawing>
          <wp:inline distT="0" distB="0" distL="0" distR="0" wp14:anchorId="3B1CF311" wp14:editId="78EC5D0E">
            <wp:extent cx="5612130" cy="875165"/>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75165"/>
                    </a:xfrm>
                    <a:prstGeom prst="rect">
                      <a:avLst/>
                    </a:prstGeom>
                    <a:noFill/>
                    <a:ln>
                      <a:noFill/>
                    </a:ln>
                  </pic:spPr>
                </pic:pic>
              </a:graphicData>
            </a:graphic>
          </wp:inline>
        </w:drawing>
      </w:r>
    </w:p>
    <w:p w14:paraId="2ADEFB90" w14:textId="39620A98" w:rsidR="008B7B71" w:rsidRDefault="008B7B71" w:rsidP="008B7B71">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w:t>
      </w:r>
      <w:r w:rsidR="000C1886">
        <w:rPr>
          <w:rFonts w:ascii="Arial" w:eastAsia="Times New Roman" w:hAnsi="Arial" w:cs="Arial"/>
          <w:sz w:val="15"/>
          <w:szCs w:val="15"/>
          <w:lang w:eastAsia="es-MX"/>
        </w:rPr>
        <w:t xml:space="preserve"> al 31 de diciembre del 2021</w:t>
      </w:r>
      <w:r>
        <w:rPr>
          <w:rFonts w:ascii="Arial" w:eastAsia="Times New Roman" w:hAnsi="Arial" w:cs="Arial"/>
          <w:sz w:val="15"/>
          <w:szCs w:val="15"/>
          <w:lang w:eastAsia="es-MX"/>
        </w:rPr>
        <w:t xml:space="preserve"> a la cuenta </w:t>
      </w:r>
      <w:r w:rsidR="000C1886">
        <w:rPr>
          <w:rFonts w:ascii="Arial" w:eastAsia="Times New Roman" w:hAnsi="Arial" w:cs="Arial"/>
          <w:sz w:val="15"/>
          <w:szCs w:val="15"/>
          <w:lang w:eastAsia="es-MX"/>
        </w:rPr>
        <w:t>Deudores Diversos por Cobrar a Corto Plazo</w:t>
      </w:r>
      <w:r>
        <w:rPr>
          <w:rFonts w:ascii="Arial" w:eastAsia="Times New Roman" w:hAnsi="Arial" w:cs="Arial"/>
          <w:sz w:val="15"/>
          <w:szCs w:val="15"/>
          <w:lang w:eastAsia="es-MX"/>
        </w:rPr>
        <w:t xml:space="preserve"> </w:t>
      </w:r>
      <w:r w:rsidR="00E34869">
        <w:rPr>
          <w:rFonts w:ascii="Arial" w:eastAsia="Times New Roman" w:hAnsi="Arial" w:cs="Arial"/>
          <w:sz w:val="15"/>
          <w:szCs w:val="15"/>
          <w:lang w:eastAsia="es-MX"/>
        </w:rPr>
        <w:t>son importes por recuperar en relación a temas laborales.</w:t>
      </w:r>
    </w:p>
    <w:p w14:paraId="013D4276" w14:textId="39B1430A" w:rsidR="005804DB" w:rsidRDefault="00D95215" w:rsidP="005804DB">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Al</w:t>
      </w:r>
      <w:r w:rsidR="005804DB">
        <w:rPr>
          <w:rFonts w:ascii="Arial" w:eastAsia="Times New Roman" w:hAnsi="Arial" w:cs="Arial"/>
          <w:sz w:val="15"/>
          <w:szCs w:val="15"/>
          <w:lang w:eastAsia="es-MX"/>
        </w:rPr>
        <w:t xml:space="preserve"> 31 de diciembre del 2021 </w:t>
      </w:r>
      <w:r>
        <w:rPr>
          <w:rFonts w:ascii="Arial" w:eastAsia="Times New Roman" w:hAnsi="Arial" w:cs="Arial"/>
          <w:sz w:val="15"/>
          <w:szCs w:val="15"/>
          <w:lang w:eastAsia="es-MX"/>
        </w:rPr>
        <w:t>el Municipio no tiene importes pendientes por recibir por concepto de</w:t>
      </w:r>
      <w:r w:rsidR="005804DB">
        <w:rPr>
          <w:rFonts w:ascii="Arial" w:eastAsia="Times New Roman" w:hAnsi="Arial" w:cs="Arial"/>
          <w:sz w:val="15"/>
          <w:szCs w:val="15"/>
          <w:lang w:eastAsia="es-MX"/>
        </w:rPr>
        <w:t xml:space="preserve"> Ingresos por Recuperar a Corto Plazo</w:t>
      </w:r>
      <w:r w:rsidR="007A66C9">
        <w:rPr>
          <w:rFonts w:ascii="Arial" w:eastAsia="Times New Roman" w:hAnsi="Arial" w:cs="Arial"/>
          <w:sz w:val="15"/>
          <w:szCs w:val="15"/>
          <w:lang w:eastAsia="es-MX"/>
        </w:rPr>
        <w:t>.</w:t>
      </w:r>
    </w:p>
    <w:p w14:paraId="2B7A759D" w14:textId="77777777" w:rsidR="00E840EE" w:rsidRDefault="008B7B71" w:rsidP="000C188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saldo </w:t>
      </w:r>
      <w:r w:rsidR="00D95215">
        <w:rPr>
          <w:rFonts w:ascii="Arial" w:eastAsia="Times New Roman" w:hAnsi="Arial" w:cs="Arial"/>
          <w:sz w:val="15"/>
          <w:szCs w:val="15"/>
          <w:lang w:eastAsia="es-MX"/>
        </w:rPr>
        <w:t>de</w:t>
      </w:r>
      <w:r>
        <w:rPr>
          <w:rFonts w:ascii="Arial" w:eastAsia="Times New Roman" w:hAnsi="Arial" w:cs="Arial"/>
          <w:sz w:val="15"/>
          <w:szCs w:val="15"/>
          <w:lang w:eastAsia="es-MX"/>
        </w:rPr>
        <w:t xml:space="preserve"> </w:t>
      </w:r>
      <w:r w:rsidR="000C1886">
        <w:rPr>
          <w:rFonts w:ascii="Arial" w:eastAsia="Times New Roman" w:hAnsi="Arial" w:cs="Arial"/>
          <w:sz w:val="15"/>
          <w:szCs w:val="15"/>
          <w:lang w:eastAsia="es-MX"/>
        </w:rPr>
        <w:t>Deudores por Anticipo de la Tesorería a Corto Plazo</w:t>
      </w:r>
      <w:r>
        <w:rPr>
          <w:rFonts w:ascii="Arial" w:eastAsia="Times New Roman" w:hAnsi="Arial" w:cs="Arial"/>
          <w:sz w:val="15"/>
          <w:szCs w:val="15"/>
          <w:lang w:eastAsia="es-MX"/>
        </w:rPr>
        <w:t xml:space="preserve"> es referente a dos fondos fijos de las áreas de Protección Civil y Jefatura de Gabinete.</w:t>
      </w:r>
    </w:p>
    <w:p w14:paraId="26DEF194" w14:textId="3CCD4FC8" w:rsidR="000C1886" w:rsidRDefault="000C1886" w:rsidP="000C188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lastRenderedPageBreak/>
        <w:t xml:space="preserve">El saldo </w:t>
      </w:r>
      <w:r w:rsidR="00D95215">
        <w:rPr>
          <w:rFonts w:ascii="Arial" w:eastAsia="Times New Roman" w:hAnsi="Arial" w:cs="Arial"/>
          <w:sz w:val="15"/>
          <w:szCs w:val="15"/>
          <w:lang w:eastAsia="es-MX"/>
        </w:rPr>
        <w:t>de</w:t>
      </w:r>
      <w:r>
        <w:rPr>
          <w:rFonts w:ascii="Arial" w:eastAsia="Times New Roman" w:hAnsi="Arial" w:cs="Arial"/>
          <w:sz w:val="15"/>
          <w:szCs w:val="15"/>
          <w:lang w:eastAsia="es-MX"/>
        </w:rPr>
        <w:t xml:space="preserve"> Otros Derechos Recibir Efectivos y Equivalentes a Corto Plazo y Derechos Recibir Bienes o Servicios corresponde a importes a recuperar derivado de autorizaciones del Ayuntamiento</w:t>
      </w:r>
    </w:p>
    <w:p w14:paraId="3D6D2BAA" w14:textId="0A6738FC" w:rsidR="000C1886" w:rsidRPr="005804DB" w:rsidRDefault="005804DB" w:rsidP="000C1886">
      <w:pPr>
        <w:spacing w:before="100" w:beforeAutospacing="1" w:after="100" w:afterAutospacing="1" w:line="240" w:lineRule="auto"/>
        <w:jc w:val="both"/>
        <w:rPr>
          <w:rFonts w:ascii="Arial" w:eastAsia="Times New Roman" w:hAnsi="Arial" w:cs="Arial"/>
          <w:b/>
          <w:sz w:val="15"/>
          <w:szCs w:val="15"/>
          <w:lang w:eastAsia="es-MX"/>
        </w:rPr>
      </w:pPr>
      <w:r w:rsidRPr="005804DB">
        <w:rPr>
          <w:rFonts w:ascii="Arial" w:eastAsia="Times New Roman" w:hAnsi="Arial" w:cs="Arial"/>
          <w:b/>
          <w:sz w:val="15"/>
          <w:szCs w:val="15"/>
          <w:lang w:eastAsia="es-MX"/>
        </w:rPr>
        <w:t xml:space="preserve">Derechos </w:t>
      </w:r>
      <w:r>
        <w:rPr>
          <w:rFonts w:ascii="Arial" w:eastAsia="Times New Roman" w:hAnsi="Arial" w:cs="Arial"/>
          <w:b/>
          <w:sz w:val="15"/>
          <w:szCs w:val="15"/>
          <w:lang w:eastAsia="es-MX"/>
        </w:rPr>
        <w:t xml:space="preserve">a </w:t>
      </w:r>
      <w:r w:rsidRPr="005804DB">
        <w:rPr>
          <w:rFonts w:ascii="Arial" w:eastAsia="Times New Roman" w:hAnsi="Arial" w:cs="Arial"/>
          <w:b/>
          <w:sz w:val="15"/>
          <w:szCs w:val="15"/>
          <w:lang w:eastAsia="es-MX"/>
        </w:rPr>
        <w:t>Recibir Bienes o Servicios</w:t>
      </w:r>
    </w:p>
    <w:p w14:paraId="6B819AA8" w14:textId="1C7C892D" w:rsidR="000C1886" w:rsidRDefault="000C1886" w:rsidP="000C1886">
      <w:pPr>
        <w:spacing w:before="100" w:beforeAutospacing="1" w:after="100" w:afterAutospacing="1" w:line="240" w:lineRule="auto"/>
        <w:jc w:val="both"/>
        <w:rPr>
          <w:rFonts w:ascii="Arial" w:eastAsia="Times New Roman" w:hAnsi="Arial" w:cs="Arial"/>
          <w:sz w:val="15"/>
          <w:szCs w:val="15"/>
          <w:lang w:eastAsia="es-MX"/>
        </w:rPr>
      </w:pPr>
      <w:r w:rsidRPr="000C1886">
        <w:rPr>
          <w:noProof/>
          <w:lang w:eastAsia="es-MX"/>
        </w:rPr>
        <w:drawing>
          <wp:inline distT="0" distB="0" distL="0" distR="0" wp14:anchorId="6D4DC255" wp14:editId="3324D238">
            <wp:extent cx="5612130" cy="38328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83284"/>
                    </a:xfrm>
                    <a:prstGeom prst="rect">
                      <a:avLst/>
                    </a:prstGeom>
                    <a:noFill/>
                    <a:ln>
                      <a:noFill/>
                    </a:ln>
                  </pic:spPr>
                </pic:pic>
              </a:graphicData>
            </a:graphic>
          </wp:inline>
        </w:drawing>
      </w:r>
    </w:p>
    <w:p w14:paraId="70A7377F" w14:textId="04ADCE52" w:rsidR="005804DB" w:rsidRDefault="005804DB" w:rsidP="000C188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al 31 de diciembre del 2020 refleja los anticipos por amortizar de obras en proceso</w:t>
      </w:r>
    </w:p>
    <w:p w14:paraId="1AD0CD20" w14:textId="45A60C87" w:rsidR="005804DB" w:rsidRDefault="005804DB" w:rsidP="000C1886">
      <w:pPr>
        <w:spacing w:before="100" w:beforeAutospacing="1" w:after="100" w:afterAutospacing="1" w:line="240" w:lineRule="auto"/>
        <w:jc w:val="both"/>
        <w:rPr>
          <w:rFonts w:ascii="Arial" w:eastAsia="Times New Roman" w:hAnsi="Arial" w:cs="Arial"/>
          <w:b/>
          <w:sz w:val="15"/>
          <w:szCs w:val="15"/>
          <w:lang w:eastAsia="es-MX"/>
        </w:rPr>
      </w:pPr>
      <w:r w:rsidRPr="005804DB">
        <w:rPr>
          <w:rFonts w:ascii="Arial" w:eastAsia="Times New Roman" w:hAnsi="Arial" w:cs="Arial"/>
          <w:b/>
          <w:sz w:val="15"/>
          <w:szCs w:val="15"/>
          <w:lang w:eastAsia="es-MX"/>
        </w:rPr>
        <w:t>Bienes Disponibles para su Transformación o Consumo (Inventarios)</w:t>
      </w:r>
    </w:p>
    <w:p w14:paraId="0E3B64BF" w14:textId="31724D05" w:rsidR="005804DB" w:rsidRDefault="005804DB" w:rsidP="000C1886">
      <w:pPr>
        <w:spacing w:before="100" w:beforeAutospacing="1" w:after="100" w:afterAutospacing="1" w:line="240" w:lineRule="auto"/>
        <w:jc w:val="both"/>
        <w:rPr>
          <w:rFonts w:ascii="Arial" w:eastAsia="Times New Roman" w:hAnsi="Arial" w:cs="Arial"/>
          <w:sz w:val="15"/>
          <w:szCs w:val="15"/>
          <w:lang w:eastAsia="es-MX"/>
        </w:rPr>
      </w:pPr>
      <w:r w:rsidRPr="005804DB">
        <w:rPr>
          <w:rFonts w:ascii="Arial" w:eastAsia="Times New Roman" w:hAnsi="Arial" w:cs="Arial"/>
          <w:sz w:val="15"/>
          <w:szCs w:val="15"/>
          <w:lang w:eastAsia="es-MX"/>
        </w:rPr>
        <w:t>Nada que manifestar toda vez que el Ente no realiza algún proceso de transformación y/o elaboración de bienes.</w:t>
      </w:r>
    </w:p>
    <w:p w14:paraId="5ADBCEFF" w14:textId="77777777" w:rsidR="005804DB" w:rsidRPr="00B3502E" w:rsidRDefault="005804DB" w:rsidP="005804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Inversiones Financieras</w:t>
      </w:r>
      <w:r w:rsidRPr="00B3502E">
        <w:rPr>
          <w:rFonts w:ascii="Arial" w:eastAsia="Times New Roman" w:hAnsi="Arial" w:cs="Arial"/>
          <w:sz w:val="15"/>
          <w:szCs w:val="15"/>
          <w:lang w:eastAsia="es-MX"/>
        </w:rPr>
        <w:t xml:space="preserve"> </w:t>
      </w:r>
    </w:p>
    <w:p w14:paraId="3DA1013A" w14:textId="04654A50" w:rsidR="005804DB" w:rsidRDefault="005D5C8E" w:rsidP="005804DB">
      <w:pPr>
        <w:spacing w:before="100" w:beforeAutospacing="1" w:after="100" w:afterAutospacing="1" w:line="240" w:lineRule="auto"/>
        <w:jc w:val="both"/>
        <w:rPr>
          <w:rFonts w:ascii="Arial" w:eastAsia="Times New Roman" w:hAnsi="Arial" w:cs="Arial"/>
          <w:sz w:val="15"/>
          <w:szCs w:val="15"/>
          <w:lang w:eastAsia="es-MX"/>
        </w:rPr>
      </w:pPr>
      <w:r w:rsidRPr="005D5C8E">
        <w:rPr>
          <w:noProof/>
          <w:lang w:eastAsia="es-MX"/>
        </w:rPr>
        <w:drawing>
          <wp:inline distT="0" distB="0" distL="0" distR="0" wp14:anchorId="6B89358B" wp14:editId="67B70B77">
            <wp:extent cx="5612130" cy="629438"/>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29438"/>
                    </a:xfrm>
                    <a:prstGeom prst="rect">
                      <a:avLst/>
                    </a:prstGeom>
                    <a:noFill/>
                    <a:ln>
                      <a:noFill/>
                    </a:ln>
                  </pic:spPr>
                </pic:pic>
              </a:graphicData>
            </a:graphic>
          </wp:inline>
        </w:drawing>
      </w:r>
    </w:p>
    <w:p w14:paraId="5726DCE1" w14:textId="77777777" w:rsidR="005D5C8E" w:rsidRPr="007F7A79" w:rsidRDefault="005D5C8E" w:rsidP="005D5C8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Se cuentan con tres fideicomisos para pago de pensiones y jubilaciones, pago de alumbrado público y conservación del medio ambiente. </w:t>
      </w:r>
    </w:p>
    <w:p w14:paraId="1A688D09" w14:textId="77777777" w:rsidR="005D5C8E" w:rsidRDefault="005D5C8E" w:rsidP="005D5C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Inversiones Financieras Participaciones y Aportaciones</w:t>
      </w:r>
      <w:r w:rsidRPr="00B3502E">
        <w:rPr>
          <w:rFonts w:ascii="Arial" w:eastAsia="Times New Roman" w:hAnsi="Arial" w:cs="Arial"/>
          <w:sz w:val="15"/>
          <w:szCs w:val="15"/>
          <w:lang w:eastAsia="es-MX"/>
        </w:rPr>
        <w:t xml:space="preserve"> </w:t>
      </w:r>
    </w:p>
    <w:p w14:paraId="3CE0A366" w14:textId="7EFFADFE" w:rsidR="005D5C8E" w:rsidRDefault="005D5C8E" w:rsidP="005804DB">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Nada que manifestar </w:t>
      </w:r>
    </w:p>
    <w:p w14:paraId="707F8BA4" w14:textId="77777777" w:rsidR="0037522D" w:rsidRDefault="0037522D" w:rsidP="0037522D">
      <w:pPr>
        <w:spacing w:before="100" w:beforeAutospacing="1" w:after="100" w:afterAutospacing="1" w:line="240" w:lineRule="auto"/>
        <w:jc w:val="both"/>
        <w:rPr>
          <w:rFonts w:ascii="Arial" w:eastAsia="Times New Roman" w:hAnsi="Arial" w:cs="Arial"/>
          <w:b/>
          <w:bCs/>
          <w:sz w:val="15"/>
          <w:szCs w:val="15"/>
          <w:lang w:eastAsia="es-MX"/>
        </w:rPr>
      </w:pPr>
      <w:r w:rsidRPr="00165259">
        <w:rPr>
          <w:rFonts w:ascii="Arial" w:eastAsia="Times New Roman" w:hAnsi="Arial" w:cs="Arial"/>
          <w:b/>
          <w:bCs/>
          <w:sz w:val="15"/>
          <w:szCs w:val="15"/>
          <w:lang w:eastAsia="es-MX"/>
        </w:rPr>
        <w:t>Bienes Inmuebles, Infraestructura y Construcciones en Proceso</w:t>
      </w:r>
    </w:p>
    <w:p w14:paraId="681D019F" w14:textId="77777777" w:rsidR="0037522D" w:rsidRDefault="0037522D" w:rsidP="0037522D">
      <w:pPr>
        <w:spacing w:before="100" w:beforeAutospacing="1" w:after="100" w:afterAutospacing="1" w:line="240" w:lineRule="auto"/>
        <w:jc w:val="both"/>
        <w:rPr>
          <w:rFonts w:ascii="Arial" w:eastAsia="Times New Roman" w:hAnsi="Arial" w:cs="Arial"/>
          <w:b/>
          <w:bCs/>
          <w:sz w:val="15"/>
          <w:szCs w:val="15"/>
          <w:lang w:eastAsia="es-MX"/>
        </w:rPr>
      </w:pPr>
      <w:r w:rsidRPr="0037522D">
        <w:rPr>
          <w:noProof/>
          <w:lang w:eastAsia="es-MX"/>
        </w:rPr>
        <w:drawing>
          <wp:inline distT="0" distB="0" distL="0" distR="0" wp14:anchorId="3BD41218" wp14:editId="51C6FAAF">
            <wp:extent cx="5612130" cy="750811"/>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50811"/>
                    </a:xfrm>
                    <a:prstGeom prst="rect">
                      <a:avLst/>
                    </a:prstGeom>
                    <a:noFill/>
                    <a:ln>
                      <a:noFill/>
                    </a:ln>
                  </pic:spPr>
                </pic:pic>
              </a:graphicData>
            </a:graphic>
          </wp:inline>
        </w:drawing>
      </w:r>
    </w:p>
    <w:p w14:paraId="0DBD0265" w14:textId="52BD1237" w:rsidR="0037522D" w:rsidRDefault="00D95215"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w:t>
      </w:r>
      <w:r w:rsidR="0037522D">
        <w:rPr>
          <w:rFonts w:ascii="Arial" w:eastAsia="Times New Roman" w:hAnsi="Arial" w:cs="Arial"/>
          <w:bCs/>
          <w:sz w:val="15"/>
          <w:szCs w:val="15"/>
          <w:lang w:eastAsia="es-MX"/>
        </w:rPr>
        <w:t xml:space="preserve"> Terrenos </w:t>
      </w:r>
      <w:r>
        <w:rPr>
          <w:rFonts w:ascii="Arial" w:eastAsia="Times New Roman" w:hAnsi="Arial" w:cs="Arial"/>
          <w:bCs/>
          <w:sz w:val="15"/>
          <w:szCs w:val="15"/>
          <w:lang w:eastAsia="es-MX"/>
        </w:rPr>
        <w:t xml:space="preserve">tuvieron </w:t>
      </w:r>
      <w:r w:rsidR="0037522D">
        <w:rPr>
          <w:rFonts w:ascii="Arial" w:eastAsia="Times New Roman" w:hAnsi="Arial" w:cs="Arial"/>
          <w:bCs/>
          <w:sz w:val="15"/>
          <w:szCs w:val="15"/>
          <w:lang w:eastAsia="es-MX"/>
        </w:rPr>
        <w:t>un incremento por la revaluación y alta de Bienes Inmuebles.</w:t>
      </w:r>
    </w:p>
    <w:p w14:paraId="3DE60BDC" w14:textId="50FFBFFA" w:rsidR="0037522D" w:rsidRDefault="00D95215"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w:t>
      </w:r>
      <w:r w:rsidR="0037522D">
        <w:rPr>
          <w:rFonts w:ascii="Arial" w:eastAsia="Times New Roman" w:hAnsi="Arial" w:cs="Arial"/>
          <w:bCs/>
          <w:sz w:val="15"/>
          <w:szCs w:val="15"/>
          <w:lang w:eastAsia="es-MX"/>
        </w:rPr>
        <w:t xml:space="preserve"> Edificios no Habitacionales </w:t>
      </w:r>
      <w:r>
        <w:rPr>
          <w:rFonts w:ascii="Arial" w:eastAsia="Times New Roman" w:hAnsi="Arial" w:cs="Arial"/>
          <w:bCs/>
          <w:sz w:val="15"/>
          <w:szCs w:val="15"/>
          <w:lang w:eastAsia="es-MX"/>
        </w:rPr>
        <w:t xml:space="preserve">tuvieron </w:t>
      </w:r>
      <w:r w:rsidR="0037522D">
        <w:rPr>
          <w:rFonts w:ascii="Arial" w:eastAsia="Times New Roman" w:hAnsi="Arial" w:cs="Arial"/>
          <w:bCs/>
          <w:sz w:val="15"/>
          <w:szCs w:val="15"/>
          <w:lang w:eastAsia="es-MX"/>
        </w:rPr>
        <w:t>un incremento por Obra Pública concluida.</w:t>
      </w:r>
    </w:p>
    <w:p w14:paraId="025860F8" w14:textId="59708018" w:rsidR="003E4B20" w:rsidRDefault="00D95215"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La</w:t>
      </w:r>
      <w:r w:rsidR="003E4B20">
        <w:rPr>
          <w:rFonts w:ascii="Arial" w:eastAsia="Times New Roman" w:hAnsi="Arial" w:cs="Arial"/>
          <w:bCs/>
          <w:sz w:val="15"/>
          <w:szCs w:val="15"/>
          <w:lang w:eastAsia="es-MX"/>
        </w:rPr>
        <w:t xml:space="preserve"> Infraestructura y de Construcciones en Proceso en Bienes de Domino Publico</w:t>
      </w:r>
      <w:r>
        <w:rPr>
          <w:rFonts w:ascii="Arial" w:eastAsia="Times New Roman" w:hAnsi="Arial" w:cs="Arial"/>
          <w:bCs/>
          <w:sz w:val="15"/>
          <w:szCs w:val="15"/>
          <w:lang w:eastAsia="es-MX"/>
        </w:rPr>
        <w:t xml:space="preserve"> incrementaron derivado de las obras</w:t>
      </w:r>
      <w:r w:rsidR="003E4B20">
        <w:rPr>
          <w:rFonts w:ascii="Arial" w:eastAsia="Times New Roman" w:hAnsi="Arial" w:cs="Arial"/>
          <w:bCs/>
          <w:sz w:val="15"/>
          <w:szCs w:val="15"/>
          <w:lang w:eastAsia="es-MX"/>
        </w:rPr>
        <w:t xml:space="preserve"> pendiente de concluir.</w:t>
      </w:r>
    </w:p>
    <w:p w14:paraId="3E6240D6" w14:textId="1C164AA6" w:rsidR="00FE777B" w:rsidRDefault="00FE777B" w:rsidP="00FE777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Inmuebles</w:t>
      </w:r>
    </w:p>
    <w:p w14:paraId="745F5F89" w14:textId="020406D0" w:rsidR="00FE777B" w:rsidRDefault="00FE777B" w:rsidP="0037522D">
      <w:pPr>
        <w:spacing w:before="100" w:beforeAutospacing="1" w:after="100" w:afterAutospacing="1" w:line="240" w:lineRule="auto"/>
        <w:jc w:val="both"/>
        <w:rPr>
          <w:rFonts w:ascii="Arial" w:eastAsia="Times New Roman" w:hAnsi="Arial" w:cs="Arial"/>
          <w:bCs/>
          <w:sz w:val="15"/>
          <w:szCs w:val="15"/>
          <w:lang w:eastAsia="es-MX"/>
        </w:rPr>
      </w:pPr>
      <w:r w:rsidRPr="00FE777B">
        <w:rPr>
          <w:noProof/>
          <w:lang w:eastAsia="es-MX"/>
        </w:rPr>
        <w:drawing>
          <wp:inline distT="0" distB="0" distL="0" distR="0" wp14:anchorId="79FFE56E" wp14:editId="048CBF2B">
            <wp:extent cx="5573744" cy="641684"/>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1766" cy="646061"/>
                    </a:xfrm>
                    <a:prstGeom prst="rect">
                      <a:avLst/>
                    </a:prstGeom>
                    <a:noFill/>
                    <a:ln>
                      <a:noFill/>
                    </a:ln>
                  </pic:spPr>
                </pic:pic>
              </a:graphicData>
            </a:graphic>
          </wp:inline>
        </w:drawing>
      </w:r>
    </w:p>
    <w:p w14:paraId="6F8614D4" w14:textId="1F604659" w:rsidR="00FE777B" w:rsidRDefault="00FE777B"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Se informa </w:t>
      </w:r>
      <w:r w:rsidR="00DF27F2">
        <w:rPr>
          <w:rFonts w:ascii="Arial" w:eastAsia="Times New Roman" w:hAnsi="Arial" w:cs="Arial"/>
          <w:bCs/>
          <w:sz w:val="15"/>
          <w:szCs w:val="15"/>
          <w:lang w:eastAsia="es-MX"/>
        </w:rPr>
        <w:t>la depreciación d</w:t>
      </w:r>
      <w:r>
        <w:rPr>
          <w:rFonts w:ascii="Arial" w:eastAsia="Times New Roman" w:hAnsi="Arial" w:cs="Arial"/>
          <w:bCs/>
          <w:sz w:val="15"/>
          <w:szCs w:val="15"/>
          <w:lang w:eastAsia="es-MX"/>
        </w:rPr>
        <w:t xml:space="preserve">el rubro de Bienes Inmuebles del ejercicio </w:t>
      </w:r>
      <w:r w:rsidR="00DF27F2">
        <w:rPr>
          <w:rFonts w:ascii="Arial" w:eastAsia="Times New Roman" w:hAnsi="Arial" w:cs="Arial"/>
          <w:bCs/>
          <w:sz w:val="15"/>
          <w:szCs w:val="15"/>
          <w:lang w:eastAsia="es-MX"/>
        </w:rPr>
        <w:t>acumulado</w:t>
      </w:r>
      <w:r>
        <w:rPr>
          <w:rFonts w:ascii="Arial" w:eastAsia="Times New Roman" w:hAnsi="Arial" w:cs="Arial"/>
          <w:bCs/>
          <w:sz w:val="15"/>
          <w:szCs w:val="15"/>
          <w:lang w:eastAsia="es-MX"/>
        </w:rPr>
        <w:t xml:space="preserve"> de conformidad con la normatividad aplicable.</w:t>
      </w:r>
    </w:p>
    <w:p w14:paraId="4B778525" w14:textId="77777777" w:rsidR="007A66C9" w:rsidRDefault="007A66C9" w:rsidP="0037522D">
      <w:pPr>
        <w:spacing w:before="100" w:beforeAutospacing="1" w:after="100" w:afterAutospacing="1" w:line="240" w:lineRule="auto"/>
        <w:jc w:val="both"/>
        <w:rPr>
          <w:rFonts w:ascii="Arial" w:eastAsia="Times New Roman" w:hAnsi="Arial" w:cs="Arial"/>
          <w:bCs/>
          <w:sz w:val="15"/>
          <w:szCs w:val="15"/>
          <w:lang w:eastAsia="es-MX"/>
        </w:rPr>
      </w:pPr>
    </w:p>
    <w:p w14:paraId="2F374300" w14:textId="4B77879A" w:rsidR="00D95215" w:rsidRDefault="00D95215">
      <w:pPr>
        <w:rPr>
          <w:rFonts w:ascii="Arial" w:eastAsia="Times New Roman" w:hAnsi="Arial" w:cs="Arial"/>
          <w:b/>
          <w:bCs/>
          <w:sz w:val="15"/>
          <w:szCs w:val="15"/>
          <w:lang w:eastAsia="es-MX"/>
        </w:rPr>
      </w:pPr>
      <w:r>
        <w:rPr>
          <w:rFonts w:ascii="Arial" w:eastAsia="Times New Roman" w:hAnsi="Arial" w:cs="Arial"/>
          <w:b/>
          <w:bCs/>
          <w:sz w:val="15"/>
          <w:szCs w:val="15"/>
          <w:lang w:eastAsia="es-MX"/>
        </w:rPr>
        <w:br w:type="page"/>
      </w:r>
    </w:p>
    <w:p w14:paraId="5EB7792D" w14:textId="29AFAB33" w:rsidR="00FE777B" w:rsidRDefault="00FE777B" w:rsidP="0037522D">
      <w:pPr>
        <w:spacing w:before="100" w:beforeAutospacing="1" w:after="100" w:afterAutospacing="1" w:line="240" w:lineRule="auto"/>
        <w:jc w:val="both"/>
        <w:rPr>
          <w:rFonts w:ascii="Arial" w:eastAsia="Times New Roman" w:hAnsi="Arial" w:cs="Arial"/>
          <w:b/>
          <w:bCs/>
          <w:sz w:val="15"/>
          <w:szCs w:val="15"/>
          <w:lang w:eastAsia="es-MX"/>
        </w:rPr>
      </w:pPr>
      <w:r w:rsidRPr="00FE777B">
        <w:rPr>
          <w:rFonts w:ascii="Arial" w:eastAsia="Times New Roman" w:hAnsi="Arial" w:cs="Arial"/>
          <w:b/>
          <w:bCs/>
          <w:sz w:val="15"/>
          <w:szCs w:val="15"/>
          <w:lang w:eastAsia="es-MX"/>
        </w:rPr>
        <w:lastRenderedPageBreak/>
        <w:t>Bienes Muebles</w:t>
      </w:r>
    </w:p>
    <w:p w14:paraId="534790B4" w14:textId="7368EEB6" w:rsidR="00FE777B" w:rsidRDefault="00FE777B" w:rsidP="0037522D">
      <w:pPr>
        <w:spacing w:before="100" w:beforeAutospacing="1" w:after="100" w:afterAutospacing="1" w:line="240" w:lineRule="auto"/>
        <w:jc w:val="both"/>
        <w:rPr>
          <w:rFonts w:ascii="Arial" w:eastAsia="Times New Roman" w:hAnsi="Arial" w:cs="Arial"/>
          <w:b/>
          <w:bCs/>
          <w:sz w:val="15"/>
          <w:szCs w:val="15"/>
          <w:lang w:eastAsia="es-MX"/>
        </w:rPr>
      </w:pPr>
      <w:r w:rsidRPr="00FE777B">
        <w:rPr>
          <w:noProof/>
          <w:lang w:eastAsia="es-MX"/>
        </w:rPr>
        <w:drawing>
          <wp:inline distT="0" distB="0" distL="0" distR="0" wp14:anchorId="1048D18A" wp14:editId="1FED2983">
            <wp:extent cx="5612130" cy="124269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242692"/>
                    </a:xfrm>
                    <a:prstGeom prst="rect">
                      <a:avLst/>
                    </a:prstGeom>
                    <a:noFill/>
                    <a:ln>
                      <a:noFill/>
                    </a:ln>
                  </pic:spPr>
                </pic:pic>
              </a:graphicData>
            </a:graphic>
          </wp:inline>
        </w:drawing>
      </w:r>
    </w:p>
    <w:p w14:paraId="1B9AA34C" w14:textId="5BE22E67" w:rsidR="00FE777B" w:rsidRPr="00DF27F2" w:rsidRDefault="00DF27F2" w:rsidP="0037522D">
      <w:pPr>
        <w:spacing w:before="100" w:beforeAutospacing="1" w:after="100" w:afterAutospacing="1" w:line="240" w:lineRule="auto"/>
        <w:jc w:val="both"/>
        <w:rPr>
          <w:rFonts w:ascii="Arial" w:eastAsia="Times New Roman" w:hAnsi="Arial" w:cs="Arial"/>
          <w:bCs/>
          <w:sz w:val="15"/>
          <w:szCs w:val="15"/>
          <w:lang w:eastAsia="es-MX"/>
        </w:rPr>
      </w:pPr>
      <w:r w:rsidRPr="00DF27F2">
        <w:rPr>
          <w:rFonts w:ascii="Arial" w:eastAsia="Times New Roman" w:hAnsi="Arial" w:cs="Arial"/>
          <w:bCs/>
          <w:sz w:val="15"/>
          <w:szCs w:val="15"/>
          <w:lang w:eastAsia="es-MX"/>
        </w:rPr>
        <w:t>El rubro de Bienes Muebles representa un incremento</w:t>
      </w:r>
      <w:r>
        <w:rPr>
          <w:rFonts w:ascii="Arial" w:eastAsia="Times New Roman" w:hAnsi="Arial" w:cs="Arial"/>
          <w:bCs/>
          <w:sz w:val="15"/>
          <w:szCs w:val="15"/>
          <w:lang w:eastAsia="es-MX"/>
        </w:rPr>
        <w:t xml:space="preserve"> debido principalmente a la inversión de equipo de transporte.</w:t>
      </w:r>
    </w:p>
    <w:p w14:paraId="771A9C68" w14:textId="22494A47" w:rsidR="00FE777B" w:rsidRDefault="00FE777B" w:rsidP="00FE777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w:t>
      </w:r>
      <w:r>
        <w:rPr>
          <w:rFonts w:ascii="Arial" w:eastAsia="Times New Roman" w:hAnsi="Arial" w:cs="Arial"/>
          <w:b/>
          <w:sz w:val="15"/>
          <w:szCs w:val="15"/>
          <w:lang w:eastAsia="es-MX"/>
        </w:rPr>
        <w:t>m</w:t>
      </w:r>
      <w:r w:rsidRPr="00FE777B">
        <w:rPr>
          <w:rFonts w:ascii="Arial" w:eastAsia="Times New Roman" w:hAnsi="Arial" w:cs="Arial"/>
          <w:b/>
          <w:sz w:val="15"/>
          <w:szCs w:val="15"/>
          <w:lang w:eastAsia="es-MX"/>
        </w:rPr>
        <w:t>uebles</w:t>
      </w:r>
    </w:p>
    <w:p w14:paraId="438CAF53" w14:textId="1B5E3069" w:rsidR="005D5C8E" w:rsidRDefault="00DF27F2" w:rsidP="005804DB">
      <w:pPr>
        <w:spacing w:before="100" w:beforeAutospacing="1" w:after="100" w:afterAutospacing="1" w:line="240" w:lineRule="auto"/>
        <w:jc w:val="both"/>
        <w:rPr>
          <w:rFonts w:ascii="Arial" w:eastAsia="Times New Roman" w:hAnsi="Arial" w:cs="Arial"/>
          <w:sz w:val="15"/>
          <w:szCs w:val="15"/>
          <w:lang w:eastAsia="es-MX"/>
        </w:rPr>
      </w:pPr>
      <w:r w:rsidRPr="00DF27F2">
        <w:rPr>
          <w:noProof/>
          <w:lang w:eastAsia="es-MX"/>
        </w:rPr>
        <w:drawing>
          <wp:inline distT="0" distB="0" distL="0" distR="0" wp14:anchorId="67185EF5" wp14:editId="2E9ED0A6">
            <wp:extent cx="5612130" cy="257606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576060"/>
                    </a:xfrm>
                    <a:prstGeom prst="rect">
                      <a:avLst/>
                    </a:prstGeom>
                    <a:noFill/>
                    <a:ln>
                      <a:noFill/>
                    </a:ln>
                  </pic:spPr>
                </pic:pic>
              </a:graphicData>
            </a:graphic>
          </wp:inline>
        </w:drawing>
      </w:r>
    </w:p>
    <w:p w14:paraId="38568C65" w14:textId="592F4F27" w:rsidR="00DF27F2" w:rsidRDefault="00DF27F2" w:rsidP="00DF27F2">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Se informa la depreciación del rubro de Bienes Muebles del ejercicio acumulado, de conformidad con la normatividad aplicable.</w:t>
      </w:r>
    </w:p>
    <w:p w14:paraId="0E5E4844" w14:textId="3443A7EA" w:rsidR="00DF27F2" w:rsidRDefault="00DF27F2" w:rsidP="00DF27F2">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Activos Intangibles</w:t>
      </w:r>
    </w:p>
    <w:p w14:paraId="228D9121" w14:textId="238D6D02" w:rsidR="00DF27F2" w:rsidRDefault="00DF27F2" w:rsidP="00DF27F2">
      <w:pPr>
        <w:spacing w:before="100" w:beforeAutospacing="1" w:after="100" w:afterAutospacing="1" w:line="240" w:lineRule="auto"/>
        <w:jc w:val="both"/>
        <w:rPr>
          <w:rFonts w:ascii="Arial" w:eastAsia="Times New Roman" w:hAnsi="Arial" w:cs="Arial"/>
          <w:sz w:val="15"/>
          <w:szCs w:val="15"/>
          <w:lang w:eastAsia="es-MX"/>
        </w:rPr>
      </w:pPr>
      <w:r w:rsidRPr="00DF27F2">
        <w:rPr>
          <w:noProof/>
          <w:lang w:eastAsia="es-MX"/>
        </w:rPr>
        <w:drawing>
          <wp:inline distT="0" distB="0" distL="0" distR="0" wp14:anchorId="44E3C1C0" wp14:editId="3044B940">
            <wp:extent cx="5612130" cy="50465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504657"/>
                    </a:xfrm>
                    <a:prstGeom prst="rect">
                      <a:avLst/>
                    </a:prstGeom>
                    <a:noFill/>
                    <a:ln>
                      <a:noFill/>
                    </a:ln>
                  </pic:spPr>
                </pic:pic>
              </a:graphicData>
            </a:graphic>
          </wp:inline>
        </w:drawing>
      </w:r>
    </w:p>
    <w:p w14:paraId="520705A9" w14:textId="1BF66D46" w:rsidR="00DF27F2" w:rsidRDefault="00DF27F2" w:rsidP="00DF27F2">
      <w:pPr>
        <w:spacing w:before="100" w:beforeAutospacing="1" w:after="100" w:afterAutospacing="1" w:line="240" w:lineRule="auto"/>
        <w:jc w:val="both"/>
        <w:rPr>
          <w:rFonts w:ascii="Arial" w:eastAsia="Times New Roman" w:hAnsi="Arial" w:cs="Arial"/>
          <w:bCs/>
          <w:sz w:val="15"/>
          <w:szCs w:val="15"/>
          <w:lang w:eastAsia="es-MX"/>
        </w:rPr>
      </w:pPr>
      <w:r w:rsidRPr="00DF27F2">
        <w:rPr>
          <w:rFonts w:ascii="Arial" w:eastAsia="Times New Roman" w:hAnsi="Arial" w:cs="Arial"/>
          <w:bCs/>
          <w:sz w:val="15"/>
          <w:szCs w:val="15"/>
          <w:lang w:eastAsia="es-MX"/>
        </w:rPr>
        <w:t>Se refleja un incremento en la cuenta de Software y licencias Informáticas e Intelectuales</w:t>
      </w:r>
      <w:r>
        <w:rPr>
          <w:rFonts w:ascii="Arial" w:eastAsia="Times New Roman" w:hAnsi="Arial" w:cs="Arial"/>
          <w:bCs/>
          <w:sz w:val="15"/>
          <w:szCs w:val="15"/>
          <w:lang w:eastAsia="es-MX"/>
        </w:rPr>
        <w:t xml:space="preserve"> en el periodo que corresponde a la adquisición y renovación de licencias informáticas.</w:t>
      </w:r>
    </w:p>
    <w:p w14:paraId="4FEB14A5" w14:textId="77777777" w:rsidR="007A5CB2" w:rsidRDefault="007A5CB2" w:rsidP="007A5CB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w:t>
      </w:r>
      <w:r>
        <w:rPr>
          <w:rFonts w:ascii="Arial" w:eastAsia="Times New Roman" w:hAnsi="Arial" w:cs="Arial"/>
          <w:b/>
          <w:sz w:val="15"/>
          <w:szCs w:val="15"/>
          <w:lang w:eastAsia="es-MX"/>
        </w:rPr>
        <w:t>m</w:t>
      </w:r>
      <w:r w:rsidRPr="00FE777B">
        <w:rPr>
          <w:rFonts w:ascii="Arial" w:eastAsia="Times New Roman" w:hAnsi="Arial" w:cs="Arial"/>
          <w:b/>
          <w:sz w:val="15"/>
          <w:szCs w:val="15"/>
          <w:lang w:eastAsia="es-MX"/>
        </w:rPr>
        <w:t>uebles</w:t>
      </w:r>
    </w:p>
    <w:p w14:paraId="73A6C9FF" w14:textId="5202DF98" w:rsidR="00DF27F2" w:rsidRDefault="007A5CB2" w:rsidP="00DF27F2">
      <w:pPr>
        <w:spacing w:before="100" w:beforeAutospacing="1" w:after="100" w:afterAutospacing="1" w:line="240" w:lineRule="auto"/>
        <w:jc w:val="both"/>
        <w:rPr>
          <w:rFonts w:ascii="Arial" w:eastAsia="Times New Roman" w:hAnsi="Arial" w:cs="Arial"/>
          <w:bCs/>
          <w:sz w:val="15"/>
          <w:szCs w:val="15"/>
          <w:lang w:eastAsia="es-MX"/>
        </w:rPr>
      </w:pPr>
      <w:r w:rsidRPr="007A5CB2">
        <w:rPr>
          <w:noProof/>
          <w:lang w:eastAsia="es-MX"/>
        </w:rPr>
        <w:drawing>
          <wp:inline distT="0" distB="0" distL="0" distR="0" wp14:anchorId="05A8140D" wp14:editId="12C2FEBD">
            <wp:extent cx="5612130" cy="38328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83284"/>
                    </a:xfrm>
                    <a:prstGeom prst="rect">
                      <a:avLst/>
                    </a:prstGeom>
                    <a:noFill/>
                    <a:ln>
                      <a:noFill/>
                    </a:ln>
                  </pic:spPr>
                </pic:pic>
              </a:graphicData>
            </a:graphic>
          </wp:inline>
        </w:drawing>
      </w:r>
    </w:p>
    <w:p w14:paraId="06F804A0" w14:textId="2CF8DFFD" w:rsidR="00DF27F2" w:rsidRDefault="007A5CB2" w:rsidP="00DF27F2">
      <w:pPr>
        <w:spacing w:before="100" w:beforeAutospacing="1" w:after="100" w:afterAutospacing="1" w:line="240" w:lineRule="auto"/>
        <w:jc w:val="both"/>
        <w:rPr>
          <w:rFonts w:ascii="Arial" w:eastAsia="Times New Roman" w:hAnsi="Arial" w:cs="Arial"/>
          <w:b/>
          <w:bCs/>
          <w:sz w:val="15"/>
          <w:szCs w:val="15"/>
          <w:lang w:eastAsia="es-MX"/>
        </w:rPr>
      </w:pPr>
      <w:r w:rsidRPr="007A5CB2">
        <w:rPr>
          <w:rFonts w:ascii="Arial" w:eastAsia="Times New Roman" w:hAnsi="Arial" w:cs="Arial"/>
          <w:b/>
          <w:bCs/>
          <w:sz w:val="15"/>
          <w:szCs w:val="15"/>
          <w:lang w:eastAsia="es-MX"/>
        </w:rPr>
        <w:t xml:space="preserve">Otros Activos </w:t>
      </w:r>
    </w:p>
    <w:p w14:paraId="62B5CAA5" w14:textId="084F9809" w:rsidR="007A5CB2" w:rsidRDefault="007A5CB2" w:rsidP="00DF27F2">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Nada que manifestar</w:t>
      </w:r>
    </w:p>
    <w:p w14:paraId="708855AD" w14:textId="499506D6" w:rsidR="00843CFB" w:rsidRDefault="00843CFB" w:rsidP="00DF27F2">
      <w:pPr>
        <w:spacing w:before="100" w:beforeAutospacing="1" w:after="100" w:afterAutospacing="1" w:line="240" w:lineRule="auto"/>
        <w:jc w:val="both"/>
        <w:rPr>
          <w:rFonts w:ascii="Arial" w:eastAsia="Times New Roman" w:hAnsi="Arial" w:cs="Arial"/>
          <w:bCs/>
          <w:sz w:val="15"/>
          <w:szCs w:val="15"/>
          <w:lang w:eastAsia="es-MX"/>
        </w:rPr>
      </w:pPr>
    </w:p>
    <w:p w14:paraId="22206AC6" w14:textId="2C741276"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Pasivo</w:t>
      </w:r>
      <w:r w:rsidRPr="00B3502E">
        <w:rPr>
          <w:rFonts w:ascii="Arial" w:eastAsia="Times New Roman" w:hAnsi="Arial" w:cs="Arial"/>
          <w:sz w:val="15"/>
          <w:szCs w:val="15"/>
          <w:lang w:eastAsia="es-MX"/>
        </w:rPr>
        <w:t xml:space="preserve"> </w:t>
      </w:r>
    </w:p>
    <w:p w14:paraId="63D137F9" w14:textId="5853DCF2" w:rsidR="006F214D" w:rsidRDefault="00B6791A" w:rsidP="00B3502E">
      <w:pPr>
        <w:spacing w:before="100" w:beforeAutospacing="1" w:after="100" w:afterAutospacing="1" w:line="240" w:lineRule="auto"/>
        <w:jc w:val="both"/>
        <w:rPr>
          <w:rFonts w:ascii="Arial" w:eastAsia="Times New Roman" w:hAnsi="Arial" w:cs="Arial"/>
          <w:sz w:val="15"/>
          <w:szCs w:val="15"/>
          <w:lang w:eastAsia="es-MX"/>
        </w:rPr>
      </w:pPr>
      <w:r w:rsidRPr="00B6791A">
        <w:rPr>
          <w:noProof/>
          <w:lang w:eastAsia="es-MX"/>
        </w:rPr>
        <w:drawing>
          <wp:inline distT="0" distB="0" distL="0" distR="0" wp14:anchorId="26DD6BD9" wp14:editId="61CD311A">
            <wp:extent cx="5612130" cy="996538"/>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996538"/>
                    </a:xfrm>
                    <a:prstGeom prst="rect">
                      <a:avLst/>
                    </a:prstGeom>
                    <a:noFill/>
                    <a:ln>
                      <a:noFill/>
                    </a:ln>
                  </pic:spPr>
                </pic:pic>
              </a:graphicData>
            </a:graphic>
          </wp:inline>
        </w:drawing>
      </w:r>
    </w:p>
    <w:p w14:paraId="1BC86F35" w14:textId="688C08A0" w:rsidR="00F05C93" w:rsidRDefault="00B679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Los saldos de Pasivo a Corto Plazo al 31 de diciembre del 2021 son factibles de pagar con el Activo Circulante disponible para dicho periodo. </w:t>
      </w:r>
    </w:p>
    <w:p w14:paraId="5F33CFBE" w14:textId="189DCF3A" w:rsidR="00B6791A" w:rsidRDefault="002556EB" w:rsidP="00B3502E">
      <w:pPr>
        <w:spacing w:before="100" w:beforeAutospacing="1" w:after="100" w:afterAutospacing="1" w:line="240" w:lineRule="auto"/>
        <w:jc w:val="both"/>
        <w:rPr>
          <w:rFonts w:ascii="Arial" w:eastAsia="Times New Roman" w:hAnsi="Arial" w:cs="Arial"/>
          <w:sz w:val="15"/>
          <w:szCs w:val="15"/>
          <w:lang w:eastAsia="es-MX"/>
        </w:rPr>
      </w:pPr>
      <w:r w:rsidRPr="002556EB">
        <w:rPr>
          <w:noProof/>
          <w:lang w:eastAsia="es-MX"/>
        </w:rPr>
        <w:drawing>
          <wp:inline distT="0" distB="0" distL="0" distR="0" wp14:anchorId="4C78DFE4" wp14:editId="0604F092">
            <wp:extent cx="5612130" cy="38328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83284"/>
                    </a:xfrm>
                    <a:prstGeom prst="rect">
                      <a:avLst/>
                    </a:prstGeom>
                    <a:noFill/>
                    <a:ln>
                      <a:noFill/>
                    </a:ln>
                  </pic:spPr>
                </pic:pic>
              </a:graphicData>
            </a:graphic>
          </wp:inline>
        </w:drawing>
      </w:r>
    </w:p>
    <w:p w14:paraId="79239960" w14:textId="01FDDBF4" w:rsidR="002556EB" w:rsidRDefault="002556E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reflejado de la cuenta de Retenciones y Contribuciones por Pagar a Corto Plazo se compone en su mayoría por retención de ISR por enterar al SAT.</w:t>
      </w:r>
    </w:p>
    <w:p w14:paraId="02EBCE2D" w14:textId="7E49AAFF" w:rsidR="00F56A1F" w:rsidRDefault="00F56A1F" w:rsidP="00B3502E">
      <w:pPr>
        <w:spacing w:before="100" w:beforeAutospacing="1" w:after="100" w:afterAutospacing="1" w:line="240" w:lineRule="auto"/>
        <w:jc w:val="both"/>
        <w:rPr>
          <w:rFonts w:ascii="Arial" w:eastAsia="Times New Roman" w:hAnsi="Arial" w:cs="Arial"/>
          <w:b/>
          <w:sz w:val="15"/>
          <w:szCs w:val="15"/>
          <w:lang w:eastAsia="es-MX"/>
        </w:rPr>
      </w:pPr>
      <w:r w:rsidRPr="00F56A1F">
        <w:rPr>
          <w:rFonts w:ascii="Arial" w:eastAsia="Times New Roman" w:hAnsi="Arial" w:cs="Arial"/>
          <w:b/>
          <w:sz w:val="15"/>
          <w:szCs w:val="15"/>
          <w:lang w:eastAsia="es-MX"/>
        </w:rPr>
        <w:t>Pasivos Diferidos y Otros</w:t>
      </w:r>
    </w:p>
    <w:p w14:paraId="6B320739" w14:textId="2DC742EF" w:rsidR="00F56A1F" w:rsidRDefault="00F56A1F" w:rsidP="00B3502E">
      <w:pPr>
        <w:spacing w:before="100" w:beforeAutospacing="1" w:after="100" w:afterAutospacing="1" w:line="240" w:lineRule="auto"/>
        <w:jc w:val="both"/>
        <w:rPr>
          <w:rFonts w:ascii="Arial" w:eastAsia="Times New Roman" w:hAnsi="Arial" w:cs="Arial"/>
          <w:b/>
          <w:sz w:val="15"/>
          <w:szCs w:val="15"/>
          <w:lang w:eastAsia="es-MX"/>
        </w:rPr>
      </w:pPr>
      <w:r w:rsidRPr="00F56A1F">
        <w:rPr>
          <w:noProof/>
          <w:lang w:eastAsia="es-MX"/>
        </w:rPr>
        <w:drawing>
          <wp:inline distT="0" distB="0" distL="0" distR="0" wp14:anchorId="53C26D89" wp14:editId="28F1CE82">
            <wp:extent cx="5612130" cy="750811"/>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50811"/>
                    </a:xfrm>
                    <a:prstGeom prst="rect">
                      <a:avLst/>
                    </a:prstGeom>
                    <a:noFill/>
                    <a:ln>
                      <a:noFill/>
                    </a:ln>
                  </pic:spPr>
                </pic:pic>
              </a:graphicData>
            </a:graphic>
          </wp:inline>
        </w:drawing>
      </w:r>
    </w:p>
    <w:p w14:paraId="3E5C38AC" w14:textId="5D6E24B5" w:rsidR="00D30237" w:rsidRPr="00F56A1F" w:rsidRDefault="00D30237"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Las provisiones a corto plazo corresponden en su mayoría a provisiones por demandas laborales, </w:t>
      </w:r>
      <w:r w:rsidR="00733841">
        <w:rPr>
          <w:rFonts w:ascii="Arial" w:eastAsia="Times New Roman" w:hAnsi="Arial" w:cs="Arial"/>
          <w:sz w:val="15"/>
          <w:szCs w:val="15"/>
          <w:lang w:eastAsia="es-MX"/>
        </w:rPr>
        <w:t>así como d</w:t>
      </w:r>
      <w:r>
        <w:rPr>
          <w:rFonts w:ascii="Arial" w:eastAsia="Times New Roman" w:hAnsi="Arial" w:cs="Arial"/>
          <w:sz w:val="15"/>
          <w:szCs w:val="15"/>
          <w:lang w:eastAsia="es-MX"/>
        </w:rPr>
        <w:t>e las otras cuentas por pagar a corto plazo corresponde a compromisos que tiene el municipio con otros entes público y que se finiquitaran durante el siguiente ejercicio fiscal.</w:t>
      </w:r>
    </w:p>
    <w:p w14:paraId="39C8FC35" w14:textId="68B0D62D" w:rsidR="004F5E43" w:rsidRPr="007A66C9" w:rsidRDefault="00B3502E" w:rsidP="00174644">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t>Notas al Estado de Actividades.</w:t>
      </w:r>
    </w:p>
    <w:p w14:paraId="61396BE0" w14:textId="0915EE04"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2958C388" w14:textId="19A764C4" w:rsidR="0021285E" w:rsidRDefault="0021285E" w:rsidP="00B3502E">
      <w:pPr>
        <w:spacing w:before="100" w:beforeAutospacing="1" w:after="100" w:afterAutospacing="1" w:line="240" w:lineRule="auto"/>
        <w:jc w:val="both"/>
        <w:rPr>
          <w:rFonts w:ascii="Arial" w:eastAsia="Times New Roman" w:hAnsi="Arial" w:cs="Arial"/>
          <w:b/>
          <w:bCs/>
          <w:sz w:val="15"/>
          <w:szCs w:val="15"/>
          <w:lang w:eastAsia="es-MX"/>
        </w:rPr>
      </w:pPr>
      <w:r w:rsidRPr="0021285E">
        <w:rPr>
          <w:noProof/>
          <w:lang w:eastAsia="es-MX"/>
        </w:rPr>
        <w:drawing>
          <wp:inline distT="0" distB="0" distL="0" distR="0" wp14:anchorId="69CC4A30" wp14:editId="3B4C8D15">
            <wp:extent cx="5612130" cy="855685"/>
            <wp:effectExtent l="0" t="0" r="0"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855685"/>
                    </a:xfrm>
                    <a:prstGeom prst="rect">
                      <a:avLst/>
                    </a:prstGeom>
                    <a:noFill/>
                    <a:ln>
                      <a:noFill/>
                    </a:ln>
                  </pic:spPr>
                </pic:pic>
              </a:graphicData>
            </a:graphic>
          </wp:inline>
        </w:drawing>
      </w:r>
    </w:p>
    <w:p w14:paraId="423C05BC" w14:textId="0DF06DCA" w:rsidR="0021285E" w:rsidRDefault="00D30237" w:rsidP="0021285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 ingresos de gestión tuvieron un incremento derivado de la mayor recaudación y cumplimiento de sus obligaciones fiscales. La reducción en derechos corresponde como factor relevante la menor recaudación del Derecho</w:t>
      </w:r>
      <w:r w:rsidR="00A04D9D">
        <w:rPr>
          <w:rFonts w:ascii="Arial" w:eastAsia="Times New Roman" w:hAnsi="Arial" w:cs="Arial"/>
          <w:bCs/>
          <w:sz w:val="15"/>
          <w:szCs w:val="15"/>
          <w:lang w:eastAsia="es-MX"/>
        </w:rPr>
        <w:t xml:space="preserve"> </w:t>
      </w:r>
      <w:r w:rsidR="00A04D9D" w:rsidRPr="00A04D9D">
        <w:rPr>
          <w:rFonts w:ascii="Arial" w:eastAsia="Times New Roman" w:hAnsi="Arial" w:cs="Arial"/>
          <w:bCs/>
          <w:sz w:val="15"/>
          <w:szCs w:val="15"/>
          <w:lang w:eastAsia="es-MX"/>
        </w:rPr>
        <w:t>Servicios relacionados con construcciones y urbanizaciones</w:t>
      </w:r>
      <w:r>
        <w:rPr>
          <w:rFonts w:ascii="Arial" w:eastAsia="Times New Roman" w:hAnsi="Arial" w:cs="Arial"/>
          <w:bCs/>
          <w:sz w:val="15"/>
          <w:szCs w:val="15"/>
          <w:lang w:eastAsia="es-MX"/>
        </w:rPr>
        <w:t>. Por su parte la caída en productos, corresponde en su mayoría a una menor generación de productos financieros derivado de una menor disposición de flujo invertido</w:t>
      </w:r>
    </w:p>
    <w:p w14:paraId="162DA359" w14:textId="3481FB9B" w:rsidR="00B02435" w:rsidRPr="00B02435" w:rsidRDefault="00B02435" w:rsidP="0021285E">
      <w:pPr>
        <w:spacing w:before="100" w:beforeAutospacing="1" w:after="100" w:afterAutospacing="1" w:line="240" w:lineRule="auto"/>
        <w:jc w:val="both"/>
        <w:rPr>
          <w:rFonts w:ascii="Arial" w:eastAsia="Times New Roman" w:hAnsi="Arial" w:cs="Arial"/>
          <w:b/>
          <w:bCs/>
          <w:sz w:val="15"/>
          <w:szCs w:val="15"/>
          <w:lang w:eastAsia="es-MX"/>
        </w:rPr>
      </w:pPr>
      <w:r w:rsidRPr="00B02435">
        <w:rPr>
          <w:rFonts w:ascii="Arial" w:eastAsia="Times New Roman" w:hAnsi="Arial" w:cs="Arial"/>
          <w:b/>
          <w:bCs/>
          <w:sz w:val="15"/>
          <w:szCs w:val="15"/>
          <w:lang w:eastAsia="es-MX"/>
        </w:rPr>
        <w:t>Participaciones, Aportaciones, Convenios, Incentivos Derivados de la Colaboración Fiscal</w:t>
      </w:r>
    </w:p>
    <w:p w14:paraId="4551EF88" w14:textId="44F2DBC8" w:rsidR="00B02435" w:rsidRDefault="00B02435" w:rsidP="0021285E">
      <w:pPr>
        <w:spacing w:before="100" w:beforeAutospacing="1" w:after="100" w:afterAutospacing="1" w:line="240" w:lineRule="auto"/>
        <w:jc w:val="both"/>
        <w:rPr>
          <w:rFonts w:ascii="Arial" w:eastAsia="Times New Roman" w:hAnsi="Arial" w:cs="Arial"/>
          <w:bCs/>
          <w:sz w:val="15"/>
          <w:szCs w:val="15"/>
          <w:lang w:eastAsia="es-MX"/>
        </w:rPr>
      </w:pPr>
      <w:r w:rsidRPr="00B02435">
        <w:rPr>
          <w:noProof/>
          <w:lang w:eastAsia="es-MX"/>
        </w:rPr>
        <w:drawing>
          <wp:inline distT="0" distB="0" distL="0" distR="0" wp14:anchorId="43501F94" wp14:editId="16A9614A">
            <wp:extent cx="5612130" cy="734099"/>
            <wp:effectExtent l="0" t="0" r="7620" b="889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734099"/>
                    </a:xfrm>
                    <a:prstGeom prst="rect">
                      <a:avLst/>
                    </a:prstGeom>
                    <a:noFill/>
                    <a:ln>
                      <a:noFill/>
                    </a:ln>
                  </pic:spPr>
                </pic:pic>
              </a:graphicData>
            </a:graphic>
          </wp:inline>
        </w:drawing>
      </w:r>
    </w:p>
    <w:p w14:paraId="229A937D" w14:textId="30AA1BEC" w:rsidR="00B02435" w:rsidRDefault="00D30237" w:rsidP="00B02435">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Las participaciones federales tuvieron un incremento como consecuencia de una mayor Recaudación Federal Participables. La ligera caída en aportaciones se debe a los factores aplicados para su distribución, principalmente por una caída en el Fondo de Aportaciones para la </w:t>
      </w:r>
      <w:r w:rsidR="00AA24F5">
        <w:rPr>
          <w:rFonts w:ascii="Arial" w:eastAsia="Times New Roman" w:hAnsi="Arial" w:cs="Arial"/>
          <w:bCs/>
          <w:sz w:val="15"/>
          <w:szCs w:val="15"/>
          <w:lang w:eastAsia="es-MX"/>
        </w:rPr>
        <w:t>Infraestructura</w:t>
      </w:r>
      <w:r>
        <w:rPr>
          <w:rFonts w:ascii="Arial" w:eastAsia="Times New Roman" w:hAnsi="Arial" w:cs="Arial"/>
          <w:bCs/>
          <w:sz w:val="15"/>
          <w:szCs w:val="15"/>
          <w:lang w:eastAsia="es-MX"/>
        </w:rPr>
        <w:t xml:space="preserve"> </w:t>
      </w:r>
      <w:r w:rsidR="00AA24F5">
        <w:rPr>
          <w:rFonts w:ascii="Arial" w:eastAsia="Times New Roman" w:hAnsi="Arial" w:cs="Arial"/>
          <w:bCs/>
          <w:sz w:val="15"/>
          <w:szCs w:val="15"/>
          <w:lang w:eastAsia="es-MX"/>
        </w:rPr>
        <w:t xml:space="preserve">Social Municipal. En temas de convenio se debe a que no se recibieron los recursos del programa federal en materia de seguridad </w:t>
      </w:r>
    </w:p>
    <w:p w14:paraId="33E6586E" w14:textId="7661A59D" w:rsidR="00B02435" w:rsidRPr="00B02435" w:rsidRDefault="00B02435" w:rsidP="0021285E">
      <w:pPr>
        <w:spacing w:before="100" w:beforeAutospacing="1" w:after="100" w:afterAutospacing="1" w:line="240" w:lineRule="auto"/>
        <w:jc w:val="both"/>
        <w:rPr>
          <w:rFonts w:ascii="Arial" w:eastAsia="Times New Roman" w:hAnsi="Arial" w:cs="Arial"/>
          <w:b/>
          <w:bCs/>
          <w:sz w:val="15"/>
          <w:szCs w:val="15"/>
          <w:lang w:eastAsia="es-MX"/>
        </w:rPr>
      </w:pPr>
      <w:r w:rsidRPr="00B02435">
        <w:rPr>
          <w:rFonts w:ascii="Arial" w:eastAsia="Times New Roman" w:hAnsi="Arial" w:cs="Arial"/>
          <w:b/>
          <w:bCs/>
          <w:sz w:val="15"/>
          <w:szCs w:val="15"/>
          <w:lang w:eastAsia="es-MX"/>
        </w:rPr>
        <w:lastRenderedPageBreak/>
        <w:t>Otros Ingresos y Beneficios</w:t>
      </w:r>
    </w:p>
    <w:p w14:paraId="45D160C2" w14:textId="00A9FF92" w:rsidR="0021285E" w:rsidRDefault="00B02435" w:rsidP="00B3502E">
      <w:pPr>
        <w:spacing w:before="100" w:beforeAutospacing="1" w:after="100" w:afterAutospacing="1" w:line="240" w:lineRule="auto"/>
        <w:jc w:val="both"/>
        <w:rPr>
          <w:rFonts w:ascii="Arial" w:eastAsia="Times New Roman" w:hAnsi="Arial" w:cs="Arial"/>
          <w:b/>
          <w:bCs/>
          <w:sz w:val="15"/>
          <w:szCs w:val="15"/>
          <w:lang w:eastAsia="es-MX"/>
        </w:rPr>
      </w:pPr>
      <w:r w:rsidRPr="00B02435">
        <w:rPr>
          <w:noProof/>
          <w:lang w:eastAsia="es-MX"/>
        </w:rPr>
        <w:drawing>
          <wp:inline distT="0" distB="0" distL="0" distR="0" wp14:anchorId="3B5D5CF8" wp14:editId="49EB7C7A">
            <wp:extent cx="5612130" cy="577289"/>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577289"/>
                    </a:xfrm>
                    <a:prstGeom prst="rect">
                      <a:avLst/>
                    </a:prstGeom>
                    <a:noFill/>
                    <a:ln>
                      <a:noFill/>
                    </a:ln>
                  </pic:spPr>
                </pic:pic>
              </a:graphicData>
            </a:graphic>
          </wp:inline>
        </w:drawing>
      </w:r>
    </w:p>
    <w:p w14:paraId="14BE3F03" w14:textId="34BF0B2C" w:rsidR="00493847" w:rsidRDefault="00493847" w:rsidP="00B3502E">
      <w:pPr>
        <w:spacing w:before="100" w:beforeAutospacing="1" w:after="100" w:afterAutospacing="1" w:line="240" w:lineRule="auto"/>
        <w:jc w:val="both"/>
        <w:rPr>
          <w:rFonts w:ascii="Arial" w:eastAsia="Times New Roman" w:hAnsi="Arial" w:cs="Arial"/>
          <w:bCs/>
          <w:sz w:val="15"/>
          <w:szCs w:val="15"/>
          <w:lang w:eastAsia="es-MX"/>
        </w:rPr>
      </w:pPr>
      <w:r w:rsidRPr="00493847">
        <w:rPr>
          <w:rFonts w:ascii="Arial" w:eastAsia="Times New Roman" w:hAnsi="Arial" w:cs="Arial"/>
          <w:bCs/>
          <w:sz w:val="15"/>
          <w:szCs w:val="15"/>
          <w:lang w:eastAsia="es-MX"/>
        </w:rPr>
        <w:t>Los Ingresos financieros son Productos financieros generados por</w:t>
      </w:r>
      <w:r>
        <w:rPr>
          <w:rFonts w:ascii="Arial" w:eastAsia="Times New Roman" w:hAnsi="Arial" w:cs="Arial"/>
          <w:bCs/>
          <w:sz w:val="15"/>
          <w:szCs w:val="15"/>
          <w:lang w:eastAsia="es-MX"/>
        </w:rPr>
        <w:t xml:space="preserve"> las cuentas bancarias.</w:t>
      </w:r>
    </w:p>
    <w:p w14:paraId="58BC221B" w14:textId="3CB64AEF" w:rsidR="00AA24F5" w:rsidRDefault="00AA24F5" w:rsidP="00B3502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Por su parte la caída en productos, corresponde en su mayoría a una menor generación de productos financieros derivado de una menor disposición de flujo invertido.</w:t>
      </w:r>
    </w:p>
    <w:p w14:paraId="26DB69BD" w14:textId="0AE555B2" w:rsidR="0021285E" w:rsidRDefault="00A95591"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Gastos y Otras Perdidas</w:t>
      </w:r>
    </w:p>
    <w:p w14:paraId="3A7FED11" w14:textId="1AA46200" w:rsidR="00A95591" w:rsidRDefault="00A95591" w:rsidP="00B3502E">
      <w:pPr>
        <w:spacing w:before="100" w:beforeAutospacing="1" w:after="100" w:afterAutospacing="1" w:line="240" w:lineRule="auto"/>
        <w:jc w:val="both"/>
        <w:rPr>
          <w:rFonts w:ascii="Arial" w:eastAsia="Times New Roman" w:hAnsi="Arial" w:cs="Arial"/>
          <w:b/>
          <w:bCs/>
          <w:sz w:val="15"/>
          <w:szCs w:val="15"/>
          <w:lang w:eastAsia="es-MX"/>
        </w:rPr>
      </w:pPr>
      <w:r w:rsidRPr="00A95591">
        <w:rPr>
          <w:noProof/>
          <w:lang w:eastAsia="es-MX"/>
        </w:rPr>
        <w:drawing>
          <wp:inline distT="0" distB="0" distL="0" distR="0" wp14:anchorId="49F34001" wp14:editId="34FFC12F">
            <wp:extent cx="5612130" cy="1702638"/>
            <wp:effectExtent l="0" t="0" r="762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702638"/>
                    </a:xfrm>
                    <a:prstGeom prst="rect">
                      <a:avLst/>
                    </a:prstGeom>
                    <a:noFill/>
                    <a:ln>
                      <a:noFill/>
                    </a:ln>
                  </pic:spPr>
                </pic:pic>
              </a:graphicData>
            </a:graphic>
          </wp:inline>
        </w:drawing>
      </w:r>
    </w:p>
    <w:p w14:paraId="3342992B" w14:textId="7F6B5D7A" w:rsidR="006F799E" w:rsidRDefault="00A95591" w:rsidP="00B3502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E</w:t>
      </w:r>
      <w:r w:rsidR="006F799E">
        <w:rPr>
          <w:rFonts w:ascii="Arial" w:eastAsia="Times New Roman" w:hAnsi="Arial" w:cs="Arial"/>
          <w:bCs/>
          <w:sz w:val="15"/>
          <w:szCs w:val="15"/>
          <w:lang w:eastAsia="es-MX"/>
        </w:rPr>
        <w:t>l incremento del 36 % del rubro de Servicios Personales se explica principalmente por gastos derivado del cambio de Administración Constitucional, en cuanto al del rubro de Servicios Generales si bien representan el 33 % del total del ejercicio se mantuvo en los niveles de gastos contra el periodo anterior no representando un incremento; en cuanto a la inversión Pública que representa el 12 % del total del ejercicio refleja la política de contención del gasto que permitió destinar a este rubro 56 m</w:t>
      </w:r>
      <w:r w:rsidR="00AA24F5">
        <w:rPr>
          <w:rFonts w:ascii="Arial" w:eastAsia="Times New Roman" w:hAnsi="Arial" w:cs="Arial"/>
          <w:bCs/>
          <w:sz w:val="15"/>
          <w:szCs w:val="15"/>
          <w:lang w:eastAsia="es-MX"/>
        </w:rPr>
        <w:t xml:space="preserve">illones </w:t>
      </w:r>
      <w:r w:rsidR="006F799E">
        <w:rPr>
          <w:rFonts w:ascii="Arial" w:eastAsia="Times New Roman" w:hAnsi="Arial" w:cs="Arial"/>
          <w:bCs/>
          <w:sz w:val="15"/>
          <w:szCs w:val="15"/>
          <w:lang w:eastAsia="es-MX"/>
        </w:rPr>
        <w:t>d</w:t>
      </w:r>
      <w:r w:rsidR="00AA24F5">
        <w:rPr>
          <w:rFonts w:ascii="Arial" w:eastAsia="Times New Roman" w:hAnsi="Arial" w:cs="Arial"/>
          <w:bCs/>
          <w:sz w:val="15"/>
          <w:szCs w:val="15"/>
          <w:lang w:eastAsia="es-MX"/>
        </w:rPr>
        <w:t xml:space="preserve">e </w:t>
      </w:r>
      <w:r w:rsidR="006F799E">
        <w:rPr>
          <w:rFonts w:ascii="Arial" w:eastAsia="Times New Roman" w:hAnsi="Arial" w:cs="Arial"/>
          <w:bCs/>
          <w:sz w:val="15"/>
          <w:szCs w:val="15"/>
          <w:lang w:eastAsia="es-MX"/>
        </w:rPr>
        <w:t>p</w:t>
      </w:r>
      <w:r w:rsidR="00AA24F5">
        <w:rPr>
          <w:rFonts w:ascii="Arial" w:eastAsia="Times New Roman" w:hAnsi="Arial" w:cs="Arial"/>
          <w:bCs/>
          <w:sz w:val="15"/>
          <w:szCs w:val="15"/>
          <w:lang w:eastAsia="es-MX"/>
        </w:rPr>
        <w:t>esos</w:t>
      </w:r>
      <w:r w:rsidR="006F799E">
        <w:rPr>
          <w:rFonts w:ascii="Arial" w:eastAsia="Times New Roman" w:hAnsi="Arial" w:cs="Arial"/>
          <w:bCs/>
          <w:sz w:val="15"/>
          <w:szCs w:val="15"/>
          <w:lang w:eastAsia="es-MX"/>
        </w:rPr>
        <w:t xml:space="preserve"> adicionales a los del ejercicio anterior.</w:t>
      </w:r>
    </w:p>
    <w:p w14:paraId="2D69B9A5" w14:textId="5FDE0DD4" w:rsidR="006F799E" w:rsidRDefault="006F799E" w:rsidP="00B3502E">
      <w:pPr>
        <w:spacing w:before="100" w:beforeAutospacing="1" w:after="100" w:afterAutospacing="1" w:line="240" w:lineRule="auto"/>
        <w:jc w:val="both"/>
        <w:rPr>
          <w:rFonts w:ascii="Arial" w:eastAsia="Times New Roman" w:hAnsi="Arial" w:cs="Arial"/>
          <w:bCs/>
          <w:sz w:val="15"/>
          <w:szCs w:val="15"/>
          <w:lang w:eastAsia="es-MX"/>
        </w:rPr>
      </w:pPr>
      <w:r w:rsidRPr="006F799E">
        <w:rPr>
          <w:rFonts w:ascii="Arial" w:eastAsia="Times New Roman" w:hAnsi="Arial" w:cs="Arial"/>
          <w:bCs/>
          <w:sz w:val="15"/>
          <w:szCs w:val="15"/>
          <w:lang w:eastAsia="es-MX"/>
        </w:rPr>
        <w:t>Se explican aquellas cuentas de gastos de funcionamiento, transferencias, subsidios y otras ayudas, participaciones y aportaciones, otros gastos y pérdidas extraordinarias, que en lo individual representen el 10% o más del total de los ga</w:t>
      </w:r>
      <w:r>
        <w:rPr>
          <w:rFonts w:ascii="Arial" w:eastAsia="Times New Roman" w:hAnsi="Arial" w:cs="Arial"/>
          <w:bCs/>
          <w:sz w:val="15"/>
          <w:szCs w:val="15"/>
          <w:lang w:eastAsia="es-MX"/>
        </w:rPr>
        <w:t>stos al 31 de diciembre del 2021.</w:t>
      </w:r>
    </w:p>
    <w:p w14:paraId="5252BB8C" w14:textId="20205920" w:rsidR="00B3502E" w:rsidRPr="007A66C9"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t xml:space="preserve">Notas al Estado de Variaciones en la Hacienda </w:t>
      </w:r>
    </w:p>
    <w:p w14:paraId="4AF1CC04" w14:textId="5FD4342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Patrimonio Contribuido.</w:t>
      </w:r>
      <w:r w:rsidRPr="00B3502E">
        <w:rPr>
          <w:rFonts w:ascii="Arial" w:eastAsia="Times New Roman" w:hAnsi="Arial" w:cs="Arial"/>
          <w:sz w:val="15"/>
          <w:szCs w:val="15"/>
          <w:lang w:eastAsia="es-MX"/>
        </w:rPr>
        <w:t xml:space="preserve"> </w:t>
      </w:r>
    </w:p>
    <w:p w14:paraId="1FB23486" w14:textId="68BD0FC8" w:rsidR="00DA2514" w:rsidRDefault="00363634" w:rsidP="00B3502E">
      <w:pPr>
        <w:spacing w:before="100" w:beforeAutospacing="1" w:after="100" w:afterAutospacing="1" w:line="240" w:lineRule="auto"/>
        <w:jc w:val="both"/>
        <w:rPr>
          <w:rFonts w:ascii="Arial" w:eastAsia="Times New Roman" w:hAnsi="Arial" w:cs="Arial"/>
          <w:sz w:val="15"/>
          <w:szCs w:val="15"/>
          <w:lang w:eastAsia="es-MX"/>
        </w:rPr>
      </w:pPr>
      <w:r w:rsidRPr="00363634">
        <w:rPr>
          <w:noProof/>
          <w:lang w:eastAsia="es-MX"/>
        </w:rPr>
        <w:drawing>
          <wp:inline distT="0" distB="0" distL="0" distR="0" wp14:anchorId="7CE294CE" wp14:editId="7AC5D9B7">
            <wp:extent cx="5612130" cy="493424"/>
            <wp:effectExtent l="0" t="0" r="7620"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493424"/>
                    </a:xfrm>
                    <a:prstGeom prst="rect">
                      <a:avLst/>
                    </a:prstGeom>
                    <a:noFill/>
                    <a:ln>
                      <a:noFill/>
                    </a:ln>
                  </pic:spPr>
                </pic:pic>
              </a:graphicData>
            </a:graphic>
          </wp:inline>
        </w:drawing>
      </w:r>
    </w:p>
    <w:p w14:paraId="05AD82B6" w14:textId="380B6878" w:rsidR="008A7B25" w:rsidRDefault="00DA39F9"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 xml:space="preserve">El patrimonio contribuido tiene un incremento </w:t>
      </w:r>
      <w:r w:rsidR="001A3EED" w:rsidRPr="002F69BB">
        <w:rPr>
          <w:rFonts w:ascii="Arial" w:eastAsia="Times New Roman" w:hAnsi="Arial" w:cs="Arial"/>
          <w:sz w:val="15"/>
          <w:szCs w:val="15"/>
          <w:lang w:eastAsia="es-MX"/>
        </w:rPr>
        <w:t xml:space="preserve">principalmente </w:t>
      </w:r>
      <w:r w:rsidRPr="002F69BB">
        <w:rPr>
          <w:rFonts w:ascii="Arial" w:eastAsia="Times New Roman" w:hAnsi="Arial" w:cs="Arial"/>
          <w:sz w:val="15"/>
          <w:szCs w:val="15"/>
          <w:lang w:eastAsia="es-MX"/>
        </w:rPr>
        <w:t xml:space="preserve">derivado del reconocimiento de diversos bienes </w:t>
      </w:r>
      <w:r w:rsidR="00D36026" w:rsidRPr="002F69BB">
        <w:rPr>
          <w:rFonts w:ascii="Arial" w:eastAsia="Times New Roman" w:hAnsi="Arial" w:cs="Arial"/>
          <w:sz w:val="15"/>
          <w:szCs w:val="15"/>
          <w:lang w:eastAsia="es-MX"/>
        </w:rPr>
        <w:t>muebles</w:t>
      </w:r>
      <w:r w:rsidR="00363634">
        <w:rPr>
          <w:rFonts w:ascii="Arial" w:eastAsia="Times New Roman" w:hAnsi="Arial" w:cs="Arial"/>
          <w:sz w:val="15"/>
          <w:szCs w:val="15"/>
          <w:lang w:eastAsia="es-MX"/>
        </w:rPr>
        <w:t xml:space="preserve"> transferidos por la liquidación</w:t>
      </w:r>
      <w:r w:rsidR="007D7B9F">
        <w:rPr>
          <w:rFonts w:ascii="Arial" w:eastAsia="Times New Roman" w:hAnsi="Arial" w:cs="Arial"/>
          <w:sz w:val="15"/>
          <w:szCs w:val="15"/>
          <w:lang w:eastAsia="es-MX"/>
        </w:rPr>
        <w:t xml:space="preserve"> del Instituto Municipal de la Mujer</w:t>
      </w:r>
      <w:r w:rsidR="00363634">
        <w:rPr>
          <w:rFonts w:ascii="Arial" w:eastAsia="Times New Roman" w:hAnsi="Arial" w:cs="Arial"/>
          <w:sz w:val="15"/>
          <w:szCs w:val="15"/>
          <w:lang w:eastAsia="es-MX"/>
        </w:rPr>
        <w:t>.</w:t>
      </w:r>
    </w:p>
    <w:p w14:paraId="7EEF117D" w14:textId="08F7102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Patrimonio Generado</w:t>
      </w:r>
      <w:r w:rsidRPr="00B3502E">
        <w:rPr>
          <w:rFonts w:ascii="Arial" w:eastAsia="Times New Roman" w:hAnsi="Arial" w:cs="Arial"/>
          <w:sz w:val="15"/>
          <w:szCs w:val="15"/>
          <w:lang w:eastAsia="es-MX"/>
        </w:rPr>
        <w:t xml:space="preserve"> </w:t>
      </w:r>
    </w:p>
    <w:p w14:paraId="06833350" w14:textId="7BF5A73D" w:rsidR="000E401E" w:rsidRDefault="00944DA7" w:rsidP="00B3502E">
      <w:pPr>
        <w:spacing w:before="100" w:beforeAutospacing="1" w:after="100" w:afterAutospacing="1" w:line="240" w:lineRule="auto"/>
        <w:jc w:val="both"/>
        <w:rPr>
          <w:rFonts w:ascii="Arial" w:eastAsia="Times New Roman" w:hAnsi="Arial" w:cs="Arial"/>
          <w:sz w:val="15"/>
          <w:szCs w:val="15"/>
          <w:lang w:eastAsia="es-MX"/>
        </w:rPr>
      </w:pPr>
      <w:r w:rsidRPr="00944DA7">
        <w:rPr>
          <w:noProof/>
          <w:lang w:eastAsia="es-MX"/>
        </w:rPr>
        <w:drawing>
          <wp:inline distT="0" distB="0" distL="0" distR="0" wp14:anchorId="018309E9" wp14:editId="22168FBB">
            <wp:extent cx="5612130" cy="734099"/>
            <wp:effectExtent l="0" t="0" r="7620" b="889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734099"/>
                    </a:xfrm>
                    <a:prstGeom prst="rect">
                      <a:avLst/>
                    </a:prstGeom>
                    <a:noFill/>
                    <a:ln>
                      <a:noFill/>
                    </a:ln>
                  </pic:spPr>
                </pic:pic>
              </a:graphicData>
            </a:graphic>
          </wp:inline>
        </w:drawing>
      </w:r>
    </w:p>
    <w:p w14:paraId="6FE2F164" w14:textId="4EEBDA7F" w:rsidR="00DB76FA" w:rsidRDefault="00AA24F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Los</w:t>
      </w:r>
      <w:r w:rsidR="00EC5A06" w:rsidRPr="002F69BB">
        <w:rPr>
          <w:rFonts w:ascii="Arial" w:eastAsia="Times New Roman" w:hAnsi="Arial" w:cs="Arial"/>
          <w:sz w:val="15"/>
          <w:szCs w:val="15"/>
          <w:lang w:eastAsia="es-MX"/>
        </w:rPr>
        <w:t xml:space="preserve"> revalúos</w:t>
      </w:r>
      <w:r w:rsidR="005A1206" w:rsidRPr="002F69BB">
        <w:rPr>
          <w:rFonts w:ascii="Arial" w:eastAsia="Times New Roman" w:hAnsi="Arial" w:cs="Arial"/>
          <w:sz w:val="15"/>
          <w:szCs w:val="15"/>
          <w:lang w:eastAsia="es-MX"/>
        </w:rPr>
        <w:t xml:space="preserve"> de bienes inmuebles se incrementa </w:t>
      </w:r>
      <w:r>
        <w:rPr>
          <w:rFonts w:ascii="Arial" w:eastAsia="Times New Roman" w:hAnsi="Arial" w:cs="Arial"/>
          <w:sz w:val="15"/>
          <w:szCs w:val="15"/>
          <w:lang w:eastAsia="es-MX"/>
        </w:rPr>
        <w:t xml:space="preserve">principalmente por la </w:t>
      </w:r>
      <w:r w:rsidR="002F69BB">
        <w:rPr>
          <w:rFonts w:ascii="Arial" w:eastAsia="Times New Roman" w:hAnsi="Arial" w:cs="Arial"/>
          <w:sz w:val="15"/>
          <w:szCs w:val="15"/>
          <w:lang w:eastAsia="es-MX"/>
        </w:rPr>
        <w:t>subdivisiones de terrenos propiedad del Municipio</w:t>
      </w:r>
      <w:r w:rsidR="00944DA7">
        <w:rPr>
          <w:rFonts w:ascii="Arial" w:eastAsia="Times New Roman" w:hAnsi="Arial" w:cs="Arial"/>
          <w:sz w:val="15"/>
          <w:szCs w:val="15"/>
          <w:lang w:eastAsia="es-MX"/>
        </w:rPr>
        <w:t xml:space="preserve"> procedentes en su mayoría de recursos propios.</w:t>
      </w:r>
    </w:p>
    <w:p w14:paraId="5F8CE28E" w14:textId="5264AFFF" w:rsidR="00A75125" w:rsidRPr="007A66C9"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lastRenderedPageBreak/>
        <w:t>Notas al Estado de Flujo de Efectivo.</w:t>
      </w:r>
      <w:r w:rsidRPr="007A66C9">
        <w:rPr>
          <w:rFonts w:ascii="Arial" w:eastAsia="Times New Roman" w:hAnsi="Arial" w:cs="Arial"/>
          <w:color w:val="000000" w:themeColor="text1"/>
          <w:sz w:val="15"/>
          <w:szCs w:val="15"/>
          <w:lang w:eastAsia="es-MX"/>
        </w:rPr>
        <w:t xml:space="preserve"> </w:t>
      </w:r>
    </w:p>
    <w:p w14:paraId="3ADC4A30" w14:textId="111809F0" w:rsidR="00241421" w:rsidRDefault="007D7B9F" w:rsidP="007D7B9F">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b/>
          <w:bCs/>
          <w:sz w:val="15"/>
          <w:szCs w:val="15"/>
          <w:lang w:eastAsia="es-MX"/>
        </w:rPr>
        <w:t xml:space="preserve"> </w:t>
      </w:r>
      <w:r w:rsidR="00B3502E" w:rsidRPr="00B3502E">
        <w:rPr>
          <w:rFonts w:ascii="Arial" w:eastAsia="Times New Roman" w:hAnsi="Arial" w:cs="Arial"/>
          <w:b/>
          <w:bCs/>
          <w:sz w:val="15"/>
          <w:szCs w:val="15"/>
          <w:lang w:eastAsia="es-MX"/>
        </w:rPr>
        <w:t>Efectivo y equivalentes.</w:t>
      </w:r>
      <w:r w:rsidR="00B3502E" w:rsidRPr="00B3502E">
        <w:rPr>
          <w:rFonts w:ascii="Arial" w:eastAsia="Times New Roman" w:hAnsi="Arial" w:cs="Arial"/>
          <w:sz w:val="15"/>
          <w:szCs w:val="15"/>
          <w:lang w:eastAsia="es-MX"/>
        </w:rPr>
        <w:t xml:space="preserve"> </w:t>
      </w:r>
    </w:p>
    <w:p w14:paraId="34C4D2E7" w14:textId="5884F03F" w:rsidR="00F85B0F" w:rsidRDefault="007D7B9F" w:rsidP="00EE09FF">
      <w:pPr>
        <w:spacing w:before="100" w:beforeAutospacing="1" w:after="100" w:afterAutospacing="1" w:line="240" w:lineRule="auto"/>
        <w:rPr>
          <w:noProof/>
          <w:lang w:eastAsia="es-MX"/>
        </w:rPr>
      </w:pPr>
      <w:r w:rsidRPr="007D7B9F">
        <w:rPr>
          <w:noProof/>
          <w:lang w:eastAsia="es-MX"/>
        </w:rPr>
        <w:drawing>
          <wp:inline distT="0" distB="0" distL="0" distR="0" wp14:anchorId="32237CE9" wp14:editId="3B120B8F">
            <wp:extent cx="5612130" cy="713180"/>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713180"/>
                    </a:xfrm>
                    <a:prstGeom prst="rect">
                      <a:avLst/>
                    </a:prstGeom>
                    <a:noFill/>
                    <a:ln>
                      <a:noFill/>
                    </a:ln>
                  </pic:spPr>
                </pic:pic>
              </a:graphicData>
            </a:graphic>
          </wp:inline>
        </w:drawing>
      </w:r>
    </w:p>
    <w:p w14:paraId="34489A81" w14:textId="14CE09CC" w:rsidR="00831214" w:rsidRDefault="000D3808" w:rsidP="00B3502E">
      <w:pPr>
        <w:spacing w:before="100" w:beforeAutospacing="1" w:after="100" w:afterAutospacing="1" w:line="240" w:lineRule="auto"/>
        <w:jc w:val="both"/>
        <w:rPr>
          <w:rFonts w:ascii="Arial" w:eastAsia="Times New Roman" w:hAnsi="Arial" w:cs="Arial"/>
          <w:b/>
          <w:bCs/>
          <w:sz w:val="15"/>
          <w:szCs w:val="15"/>
          <w:lang w:eastAsia="es-MX"/>
        </w:rPr>
      </w:pPr>
      <w:r w:rsidRPr="002F4B3A">
        <w:rPr>
          <w:rFonts w:ascii="Arial" w:eastAsia="Times New Roman" w:hAnsi="Arial" w:cs="Arial"/>
          <w:b/>
          <w:bCs/>
          <w:sz w:val="15"/>
          <w:szCs w:val="15"/>
          <w:lang w:eastAsia="es-MX"/>
        </w:rPr>
        <w:t>Conciliación de los Flujos de Efectivo Netos de las Actividades de Operación y los saldos de Resultados del Ejercicio (Ahorro/Desahorro)</w:t>
      </w:r>
    </w:p>
    <w:p w14:paraId="645B3B32" w14:textId="6F0FB961" w:rsidR="00CC4E69" w:rsidRDefault="002F4B3A" w:rsidP="00B3502E">
      <w:pPr>
        <w:spacing w:before="100" w:beforeAutospacing="1" w:after="100" w:afterAutospacing="1" w:line="240" w:lineRule="auto"/>
        <w:jc w:val="both"/>
        <w:rPr>
          <w:rFonts w:ascii="Arial" w:eastAsia="Times New Roman" w:hAnsi="Arial" w:cs="Arial"/>
          <w:b/>
          <w:bCs/>
          <w:sz w:val="15"/>
          <w:szCs w:val="15"/>
          <w:lang w:eastAsia="es-MX"/>
        </w:rPr>
      </w:pPr>
      <w:r w:rsidRPr="002F4B3A">
        <w:rPr>
          <w:noProof/>
          <w:lang w:eastAsia="es-MX"/>
        </w:rPr>
        <w:drawing>
          <wp:inline distT="0" distB="0" distL="0" distR="0" wp14:anchorId="78213910" wp14:editId="1FFB0D8F">
            <wp:extent cx="5612130" cy="1363788"/>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363788"/>
                    </a:xfrm>
                    <a:prstGeom prst="rect">
                      <a:avLst/>
                    </a:prstGeom>
                    <a:noFill/>
                    <a:ln>
                      <a:noFill/>
                    </a:ln>
                  </pic:spPr>
                </pic:pic>
              </a:graphicData>
            </a:graphic>
          </wp:inline>
        </w:drawing>
      </w:r>
    </w:p>
    <w:p w14:paraId="5A76F52E" w14:textId="77777777" w:rsidR="002258DF" w:rsidRDefault="002258DF" w:rsidP="00B3502E">
      <w:pPr>
        <w:spacing w:before="100" w:beforeAutospacing="1" w:after="100" w:afterAutospacing="1" w:line="240" w:lineRule="auto"/>
        <w:jc w:val="both"/>
        <w:rPr>
          <w:rFonts w:ascii="Arial" w:eastAsia="Times New Roman" w:hAnsi="Arial" w:cs="Arial"/>
          <w:b/>
          <w:bCs/>
          <w:sz w:val="15"/>
          <w:szCs w:val="15"/>
          <w:lang w:eastAsia="es-MX"/>
        </w:rPr>
      </w:pPr>
    </w:p>
    <w:p w14:paraId="1BDE3ED6" w14:textId="49E15BCA" w:rsidR="000D3808" w:rsidRDefault="00D22572"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C</w:t>
      </w:r>
      <w:r w:rsidR="00CC4E69" w:rsidRPr="00CC4E69">
        <w:rPr>
          <w:rFonts w:ascii="Arial" w:eastAsia="Times New Roman" w:hAnsi="Arial" w:cs="Arial"/>
          <w:b/>
          <w:bCs/>
          <w:sz w:val="15"/>
          <w:szCs w:val="15"/>
          <w:lang w:eastAsia="es-MX"/>
        </w:rPr>
        <w:t>onciliación entre los ingresos presupuestarios y contables, así como entre los egresos presupuestarios y los gastos contables</w:t>
      </w:r>
      <w:r w:rsidR="00CC4E69">
        <w:rPr>
          <w:rFonts w:ascii="Arial" w:eastAsia="Times New Roman" w:hAnsi="Arial" w:cs="Arial"/>
          <w:b/>
          <w:bCs/>
          <w:sz w:val="15"/>
          <w:szCs w:val="15"/>
          <w:lang w:eastAsia="es-MX"/>
        </w:rPr>
        <w:t>.</w:t>
      </w:r>
    </w:p>
    <w:p w14:paraId="5EAD615A" w14:textId="5A0E3FC5" w:rsidR="00B3502E" w:rsidRPr="00CC4E69" w:rsidRDefault="006C52BB" w:rsidP="00B3502E">
      <w:pPr>
        <w:spacing w:before="100" w:beforeAutospacing="1" w:after="100" w:afterAutospacing="1" w:line="240" w:lineRule="auto"/>
        <w:jc w:val="both"/>
        <w:rPr>
          <w:rFonts w:ascii="Arial" w:eastAsia="Times New Roman" w:hAnsi="Arial" w:cs="Arial"/>
          <w:b/>
          <w:sz w:val="15"/>
          <w:szCs w:val="15"/>
          <w:lang w:eastAsia="es-MX"/>
        </w:rPr>
      </w:pPr>
      <w:r w:rsidRPr="002258DF">
        <w:rPr>
          <w:rFonts w:ascii="Arial" w:eastAsia="Times New Roman" w:hAnsi="Arial" w:cs="Arial"/>
          <w:b/>
          <w:sz w:val="15"/>
          <w:szCs w:val="15"/>
          <w:lang w:eastAsia="es-MX"/>
        </w:rPr>
        <w:t>Conciliación entre los ingresos presupuestarios y contables</w:t>
      </w:r>
      <w:r w:rsidRPr="00CC4E69">
        <w:rPr>
          <w:rFonts w:ascii="Arial" w:eastAsia="Times New Roman" w:hAnsi="Arial" w:cs="Arial"/>
          <w:b/>
          <w:sz w:val="15"/>
          <w:szCs w:val="15"/>
          <w:lang w:eastAsia="es-MX"/>
        </w:rPr>
        <w:t xml:space="preserve"> </w:t>
      </w:r>
    </w:p>
    <w:tbl>
      <w:tblPr>
        <w:tblW w:w="5029" w:type="pct"/>
        <w:tblCellSpacing w:w="15" w:type="dxa"/>
        <w:tblCellMar>
          <w:top w:w="15" w:type="dxa"/>
          <w:left w:w="15" w:type="dxa"/>
          <w:bottom w:w="15" w:type="dxa"/>
          <w:right w:w="15" w:type="dxa"/>
        </w:tblCellMar>
        <w:tblLook w:val="04A0" w:firstRow="1" w:lastRow="0" w:firstColumn="1" w:lastColumn="0" w:noHBand="0" w:noVBand="1"/>
      </w:tblPr>
      <w:tblGrid>
        <w:gridCol w:w="5400"/>
        <w:gridCol w:w="1429"/>
        <w:gridCol w:w="2060"/>
      </w:tblGrid>
      <w:tr w:rsidR="00B3502E" w:rsidRPr="009D13C4" w14:paraId="73E9AD75" w14:textId="77777777" w:rsidTr="00CC4E69">
        <w:trPr>
          <w:trHeight w:val="146"/>
          <w:tblCellSpacing w:w="15" w:type="dxa"/>
        </w:trPr>
        <w:tc>
          <w:tcPr>
            <w:tcW w:w="3012" w:type="pct"/>
            <w:shd w:val="clear" w:color="auto" w:fill="3F6285"/>
            <w:vAlign w:val="center"/>
            <w:hideMark/>
          </w:tcPr>
          <w:p w14:paraId="3C7CAE36" w14:textId="77777777" w:rsidR="00B3502E" w:rsidRPr="009D13C4" w:rsidRDefault="008E066D" w:rsidP="00B3502E">
            <w:pPr>
              <w:spacing w:after="0" w:line="240" w:lineRule="auto"/>
              <w:jc w:val="center"/>
              <w:rPr>
                <w:rFonts w:ascii="Arial" w:eastAsia="Times New Roman" w:hAnsi="Arial" w:cs="Arial"/>
                <w:b/>
                <w:bCs/>
                <w:color w:val="FFFFFF"/>
                <w:sz w:val="14"/>
                <w:szCs w:val="14"/>
                <w:lang w:eastAsia="es-MX"/>
              </w:rPr>
            </w:pPr>
            <w:r w:rsidRPr="009D13C4">
              <w:rPr>
                <w:rFonts w:ascii="Times New Roman" w:eastAsia="Times New Roman" w:hAnsi="Times New Roman" w:cs="Times New Roman"/>
                <w:b/>
                <w:bCs/>
                <w:color w:val="FFFFFF"/>
                <w:sz w:val="14"/>
                <w:szCs w:val="14"/>
                <w:lang w:eastAsia="es-MX"/>
              </w:rPr>
              <w:t>Descripción</w:t>
            </w:r>
            <w:r w:rsidR="00B3502E" w:rsidRPr="009D13C4">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9D13C4" w:rsidRDefault="00B3502E" w:rsidP="00B3502E">
            <w:pPr>
              <w:spacing w:after="0" w:line="240" w:lineRule="auto"/>
              <w:jc w:val="center"/>
              <w:rPr>
                <w:rFonts w:ascii="Arial" w:eastAsia="Times New Roman" w:hAnsi="Arial" w:cs="Arial"/>
                <w:b/>
                <w:bCs/>
                <w:color w:val="FFFFFF"/>
                <w:sz w:val="14"/>
                <w:szCs w:val="14"/>
                <w:lang w:eastAsia="es-MX"/>
              </w:rPr>
            </w:pPr>
            <w:r w:rsidRPr="009D13C4">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9D13C4" w:rsidRDefault="00B3502E" w:rsidP="00B3502E">
            <w:pPr>
              <w:spacing w:after="0" w:line="240" w:lineRule="auto"/>
              <w:jc w:val="center"/>
              <w:rPr>
                <w:rFonts w:ascii="Arial" w:eastAsia="Times New Roman" w:hAnsi="Arial" w:cs="Arial"/>
                <w:b/>
                <w:bCs/>
                <w:color w:val="FFFFFF"/>
                <w:sz w:val="14"/>
                <w:szCs w:val="14"/>
                <w:lang w:eastAsia="es-MX"/>
              </w:rPr>
            </w:pPr>
            <w:r w:rsidRPr="009D13C4">
              <w:rPr>
                <w:rFonts w:ascii="Arial" w:eastAsia="Times New Roman" w:hAnsi="Arial" w:cs="Arial"/>
                <w:b/>
                <w:bCs/>
                <w:color w:val="FFFFFF"/>
                <w:sz w:val="14"/>
                <w:szCs w:val="14"/>
                <w:lang w:eastAsia="es-MX"/>
              </w:rPr>
              <w:t xml:space="preserve">Diferencia </w:t>
            </w:r>
          </w:p>
        </w:tc>
      </w:tr>
      <w:tr w:rsidR="009D13C4" w:rsidRPr="009D13C4" w14:paraId="47427129" w14:textId="77777777" w:rsidTr="00CC4E69">
        <w:trPr>
          <w:trHeight w:val="146"/>
          <w:tblCellSpacing w:w="15" w:type="dxa"/>
        </w:trPr>
        <w:tc>
          <w:tcPr>
            <w:tcW w:w="0" w:type="auto"/>
            <w:shd w:val="clear" w:color="auto" w:fill="FFFFFF" w:themeFill="background1"/>
            <w:vAlign w:val="center"/>
            <w:hideMark/>
          </w:tcPr>
          <w:p w14:paraId="66B05FE8" w14:textId="77777777" w:rsidR="0039271A" w:rsidRPr="00CC4E69" w:rsidRDefault="0039271A" w:rsidP="0039271A">
            <w:pPr>
              <w:spacing w:after="0" w:line="240" w:lineRule="auto"/>
              <w:rPr>
                <w:rFonts w:ascii="Arial" w:eastAsia="Times New Roman" w:hAnsi="Arial" w:cs="Arial"/>
                <w:b/>
                <w:color w:val="000000" w:themeColor="text1"/>
                <w:sz w:val="14"/>
                <w:szCs w:val="14"/>
                <w:lang w:eastAsia="es-MX"/>
              </w:rPr>
            </w:pPr>
            <w:r w:rsidRPr="00CC4E69">
              <w:rPr>
                <w:rFonts w:ascii="Arial" w:eastAsia="Times New Roman" w:hAnsi="Arial" w:cs="Arial"/>
                <w:b/>
                <w:color w:val="000000" w:themeColor="text1"/>
                <w:sz w:val="14"/>
                <w:szCs w:val="14"/>
                <w:lang w:eastAsia="es-MX"/>
              </w:rPr>
              <w:t> 1.-Ingresos presupuestarios</w:t>
            </w:r>
          </w:p>
        </w:tc>
        <w:tc>
          <w:tcPr>
            <w:tcW w:w="0" w:type="auto"/>
            <w:shd w:val="clear" w:color="auto" w:fill="FFFFFF" w:themeFill="background1"/>
            <w:vAlign w:val="center"/>
            <w:hideMark/>
          </w:tcPr>
          <w:p w14:paraId="175C319B"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p>
        </w:tc>
        <w:tc>
          <w:tcPr>
            <w:tcW w:w="0" w:type="auto"/>
            <w:shd w:val="clear" w:color="auto" w:fill="FFFFFF" w:themeFill="background1"/>
            <w:vAlign w:val="center"/>
            <w:hideMark/>
          </w:tcPr>
          <w:p w14:paraId="46E7D77B" w14:textId="1520D7B5" w:rsidR="0039271A" w:rsidRPr="009D13C4" w:rsidRDefault="0039271A" w:rsidP="009D13C4">
            <w:pPr>
              <w:jc w:val="right"/>
              <w:rPr>
                <w:rFonts w:ascii="Calibri" w:hAnsi="Calibri" w:cs="Calibri"/>
                <w:b/>
                <w:bCs/>
                <w:color w:val="000000" w:themeColor="text1"/>
              </w:rPr>
            </w:pPr>
            <w:r w:rsidRPr="009D13C4">
              <w:rPr>
                <w:rFonts w:ascii="Calibri" w:hAnsi="Calibri" w:cs="Calibri"/>
                <w:b/>
                <w:bCs/>
                <w:color w:val="000000" w:themeColor="text1"/>
                <w:sz w:val="16"/>
                <w:szCs w:val="16"/>
              </w:rPr>
              <w:t>$</w:t>
            </w:r>
            <w:r w:rsidR="009D13C4">
              <w:rPr>
                <w:rFonts w:ascii="Calibri" w:hAnsi="Calibri" w:cs="Calibri"/>
                <w:b/>
                <w:bCs/>
                <w:color w:val="000000" w:themeColor="text1"/>
                <w:sz w:val="16"/>
                <w:szCs w:val="16"/>
              </w:rPr>
              <w:t>1,600,887,563.08</w:t>
            </w:r>
            <w:r w:rsidR="00AA6B97" w:rsidRPr="009D13C4">
              <w:rPr>
                <w:rFonts w:ascii="Calibri" w:hAnsi="Calibri" w:cs="Calibri"/>
                <w:b/>
                <w:bCs/>
                <w:color w:val="000000" w:themeColor="text1"/>
                <w:sz w:val="16"/>
                <w:szCs w:val="16"/>
              </w:rPr>
              <w:t xml:space="preserve"> </w:t>
            </w:r>
          </w:p>
        </w:tc>
      </w:tr>
      <w:tr w:rsidR="009D13C4" w:rsidRPr="009D13C4" w14:paraId="7DAB9640" w14:textId="77777777" w:rsidTr="00CC4E69">
        <w:trPr>
          <w:trHeight w:val="293"/>
          <w:tblCellSpacing w:w="15" w:type="dxa"/>
        </w:trPr>
        <w:tc>
          <w:tcPr>
            <w:tcW w:w="0" w:type="auto"/>
            <w:shd w:val="clear" w:color="auto" w:fill="FFFFFF" w:themeFill="background1"/>
            <w:vAlign w:val="center"/>
            <w:hideMark/>
          </w:tcPr>
          <w:p w14:paraId="5AFC05D0" w14:textId="77777777" w:rsidR="0039271A" w:rsidRPr="00CC4E69" w:rsidRDefault="0039271A" w:rsidP="0039271A">
            <w:pPr>
              <w:spacing w:after="0" w:line="240" w:lineRule="auto"/>
              <w:rPr>
                <w:rFonts w:ascii="Arial" w:eastAsia="Times New Roman" w:hAnsi="Arial" w:cs="Arial"/>
                <w:b/>
                <w:color w:val="000000" w:themeColor="text1"/>
                <w:sz w:val="14"/>
                <w:szCs w:val="14"/>
                <w:lang w:eastAsia="es-MX"/>
              </w:rPr>
            </w:pPr>
            <w:r w:rsidRPr="00CC4E69">
              <w:rPr>
                <w:rFonts w:ascii="Arial" w:eastAsia="Times New Roman" w:hAnsi="Arial" w:cs="Arial"/>
                <w:b/>
                <w:color w:val="000000" w:themeColor="text1"/>
                <w:sz w:val="14"/>
                <w:szCs w:val="14"/>
                <w:lang w:eastAsia="es-MX"/>
              </w:rPr>
              <w:t> 2.-Más ingresos contables no presupuestarios</w:t>
            </w:r>
          </w:p>
        </w:tc>
        <w:tc>
          <w:tcPr>
            <w:tcW w:w="0" w:type="auto"/>
            <w:shd w:val="clear" w:color="auto" w:fill="FFFFFF" w:themeFill="background1"/>
            <w:vAlign w:val="center"/>
            <w:hideMark/>
          </w:tcPr>
          <w:p w14:paraId="1177E730"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p>
        </w:tc>
        <w:tc>
          <w:tcPr>
            <w:tcW w:w="0" w:type="auto"/>
            <w:shd w:val="clear" w:color="auto" w:fill="FFFFFF" w:themeFill="background1"/>
            <w:vAlign w:val="center"/>
            <w:hideMark/>
          </w:tcPr>
          <w:p w14:paraId="3FECE21F"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r>
      <w:tr w:rsidR="009D13C4" w:rsidRPr="009D13C4" w14:paraId="6865CAE7" w14:textId="77777777" w:rsidTr="00CC4E69">
        <w:trPr>
          <w:trHeight w:val="146"/>
          <w:tblCellSpacing w:w="15" w:type="dxa"/>
        </w:trPr>
        <w:tc>
          <w:tcPr>
            <w:tcW w:w="0" w:type="auto"/>
            <w:shd w:val="clear" w:color="auto" w:fill="FFFFFF" w:themeFill="background1"/>
            <w:vAlign w:val="center"/>
            <w:hideMark/>
          </w:tcPr>
          <w:p w14:paraId="3AB01108"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Incremento por variación de inventarios</w:t>
            </w:r>
          </w:p>
        </w:tc>
        <w:tc>
          <w:tcPr>
            <w:tcW w:w="0" w:type="auto"/>
            <w:shd w:val="clear" w:color="auto" w:fill="FFFFFF" w:themeFill="background1"/>
            <w:vAlign w:val="center"/>
            <w:hideMark/>
          </w:tcPr>
          <w:p w14:paraId="0F8A3C72"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453DA167"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0263E176" w14:textId="77777777" w:rsidTr="00CC4E69">
        <w:trPr>
          <w:trHeight w:val="293"/>
          <w:tblCellSpacing w:w="15" w:type="dxa"/>
        </w:trPr>
        <w:tc>
          <w:tcPr>
            <w:tcW w:w="0" w:type="auto"/>
            <w:shd w:val="clear" w:color="auto" w:fill="FFFFFF" w:themeFill="background1"/>
            <w:vAlign w:val="center"/>
            <w:hideMark/>
          </w:tcPr>
          <w:p w14:paraId="2425DBA2"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Disminución del exceso de estimaciones por pérdida o deterioro u obsolescencia</w:t>
            </w:r>
          </w:p>
        </w:tc>
        <w:tc>
          <w:tcPr>
            <w:tcW w:w="0" w:type="auto"/>
            <w:shd w:val="clear" w:color="auto" w:fill="FFFFFF" w:themeFill="background1"/>
            <w:vAlign w:val="center"/>
            <w:hideMark/>
          </w:tcPr>
          <w:p w14:paraId="5B6795EA"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2FEF1776"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4A3843C5" w14:textId="77777777" w:rsidTr="00CC4E69">
        <w:trPr>
          <w:trHeight w:val="146"/>
          <w:tblCellSpacing w:w="15" w:type="dxa"/>
        </w:trPr>
        <w:tc>
          <w:tcPr>
            <w:tcW w:w="0" w:type="auto"/>
            <w:shd w:val="clear" w:color="auto" w:fill="FFFFFF" w:themeFill="background1"/>
            <w:vAlign w:val="center"/>
            <w:hideMark/>
          </w:tcPr>
          <w:p w14:paraId="4CCD2C4E"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Disminución del exceso de provisiones</w:t>
            </w:r>
          </w:p>
        </w:tc>
        <w:tc>
          <w:tcPr>
            <w:tcW w:w="0" w:type="auto"/>
            <w:shd w:val="clear" w:color="auto" w:fill="FFFFFF" w:themeFill="background1"/>
            <w:vAlign w:val="center"/>
            <w:hideMark/>
          </w:tcPr>
          <w:p w14:paraId="76298E44"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3343C70E"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4A4DB6D7" w14:textId="77777777" w:rsidTr="00CC4E69">
        <w:trPr>
          <w:trHeight w:val="146"/>
          <w:tblCellSpacing w:w="15" w:type="dxa"/>
        </w:trPr>
        <w:tc>
          <w:tcPr>
            <w:tcW w:w="0" w:type="auto"/>
            <w:shd w:val="clear" w:color="auto" w:fill="FFFFFF" w:themeFill="background1"/>
            <w:vAlign w:val="center"/>
            <w:hideMark/>
          </w:tcPr>
          <w:p w14:paraId="6B8CB4AE"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Otros ingresos y beneficios varios</w:t>
            </w:r>
          </w:p>
        </w:tc>
        <w:tc>
          <w:tcPr>
            <w:tcW w:w="0" w:type="auto"/>
            <w:shd w:val="clear" w:color="auto" w:fill="FFFFFF" w:themeFill="background1"/>
            <w:vAlign w:val="center"/>
            <w:hideMark/>
          </w:tcPr>
          <w:p w14:paraId="0FFC686E"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613F091E"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7EC2F59C" w14:textId="77777777" w:rsidTr="00CC4E69">
        <w:trPr>
          <w:trHeight w:val="146"/>
          <w:tblCellSpacing w:w="15" w:type="dxa"/>
        </w:trPr>
        <w:tc>
          <w:tcPr>
            <w:tcW w:w="0" w:type="auto"/>
            <w:shd w:val="clear" w:color="auto" w:fill="FFFFFF" w:themeFill="background1"/>
            <w:vAlign w:val="center"/>
            <w:hideMark/>
          </w:tcPr>
          <w:p w14:paraId="226C2203"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Otros ingresos contables no presupuestarios</w:t>
            </w:r>
          </w:p>
        </w:tc>
        <w:tc>
          <w:tcPr>
            <w:tcW w:w="0" w:type="auto"/>
            <w:shd w:val="clear" w:color="auto" w:fill="FFFFFF" w:themeFill="background1"/>
            <w:vAlign w:val="center"/>
            <w:hideMark/>
          </w:tcPr>
          <w:p w14:paraId="296180A4"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1C90EC39"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2F7E9074" w14:textId="77777777" w:rsidTr="00CC4E69">
        <w:trPr>
          <w:trHeight w:val="301"/>
          <w:tblCellSpacing w:w="15" w:type="dxa"/>
        </w:trPr>
        <w:tc>
          <w:tcPr>
            <w:tcW w:w="0" w:type="auto"/>
            <w:shd w:val="clear" w:color="auto" w:fill="FFFFFF" w:themeFill="background1"/>
            <w:vAlign w:val="center"/>
            <w:hideMark/>
          </w:tcPr>
          <w:p w14:paraId="185556A3" w14:textId="77777777" w:rsidR="0039271A" w:rsidRPr="00CC4E69" w:rsidRDefault="0039271A" w:rsidP="0039271A">
            <w:pPr>
              <w:spacing w:after="0" w:line="240" w:lineRule="auto"/>
              <w:rPr>
                <w:rFonts w:ascii="Arial" w:eastAsia="Times New Roman" w:hAnsi="Arial" w:cs="Arial"/>
                <w:b/>
                <w:color w:val="000000" w:themeColor="text1"/>
                <w:sz w:val="14"/>
                <w:szCs w:val="14"/>
                <w:lang w:eastAsia="es-MX"/>
              </w:rPr>
            </w:pPr>
            <w:r w:rsidRPr="009D13C4">
              <w:rPr>
                <w:rFonts w:ascii="Arial" w:eastAsia="Times New Roman" w:hAnsi="Arial" w:cs="Arial"/>
                <w:color w:val="000000" w:themeColor="text1"/>
                <w:sz w:val="14"/>
                <w:szCs w:val="14"/>
                <w:lang w:eastAsia="es-MX"/>
              </w:rPr>
              <w:t> </w:t>
            </w:r>
            <w:r w:rsidRPr="00CC4E69">
              <w:rPr>
                <w:rFonts w:ascii="Arial" w:eastAsia="Times New Roman" w:hAnsi="Arial" w:cs="Arial"/>
                <w:b/>
                <w:color w:val="000000" w:themeColor="text1"/>
                <w:sz w:val="14"/>
                <w:szCs w:val="14"/>
                <w:lang w:eastAsia="es-MX"/>
              </w:rPr>
              <w:t>3.- Menos ingresos presupuestarios no contables</w:t>
            </w:r>
          </w:p>
        </w:tc>
        <w:tc>
          <w:tcPr>
            <w:tcW w:w="0" w:type="auto"/>
            <w:shd w:val="clear" w:color="auto" w:fill="FFFFFF" w:themeFill="background1"/>
            <w:vAlign w:val="center"/>
            <w:hideMark/>
          </w:tcPr>
          <w:p w14:paraId="1CE97386"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p>
        </w:tc>
        <w:tc>
          <w:tcPr>
            <w:tcW w:w="0" w:type="auto"/>
            <w:shd w:val="clear" w:color="auto" w:fill="FFFFFF" w:themeFill="background1"/>
            <w:vAlign w:val="center"/>
            <w:hideMark/>
          </w:tcPr>
          <w:p w14:paraId="43019A05"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r>
      <w:tr w:rsidR="009D13C4" w:rsidRPr="009D13C4" w14:paraId="020AC279" w14:textId="77777777" w:rsidTr="00CC4E69">
        <w:trPr>
          <w:trHeight w:val="146"/>
          <w:tblCellSpacing w:w="15" w:type="dxa"/>
        </w:trPr>
        <w:tc>
          <w:tcPr>
            <w:tcW w:w="0" w:type="auto"/>
            <w:shd w:val="clear" w:color="auto" w:fill="FFFFFF" w:themeFill="background1"/>
            <w:vAlign w:val="center"/>
            <w:hideMark/>
          </w:tcPr>
          <w:p w14:paraId="2578756E"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Productos de capital</w:t>
            </w:r>
          </w:p>
        </w:tc>
        <w:tc>
          <w:tcPr>
            <w:tcW w:w="0" w:type="auto"/>
            <w:shd w:val="clear" w:color="auto" w:fill="FFFFFF" w:themeFill="background1"/>
            <w:vAlign w:val="center"/>
            <w:hideMark/>
          </w:tcPr>
          <w:p w14:paraId="193DB4C9"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6F4D42DB"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15D97484" w14:textId="77777777" w:rsidTr="00CC4E69">
        <w:trPr>
          <w:trHeight w:val="146"/>
          <w:tblCellSpacing w:w="15" w:type="dxa"/>
        </w:trPr>
        <w:tc>
          <w:tcPr>
            <w:tcW w:w="0" w:type="auto"/>
            <w:shd w:val="clear" w:color="auto" w:fill="FFFFFF" w:themeFill="background1"/>
            <w:vAlign w:val="center"/>
            <w:hideMark/>
          </w:tcPr>
          <w:p w14:paraId="71D3599F"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Aprovechamientos capital</w:t>
            </w:r>
          </w:p>
        </w:tc>
        <w:tc>
          <w:tcPr>
            <w:tcW w:w="0" w:type="auto"/>
            <w:shd w:val="clear" w:color="auto" w:fill="FFFFFF" w:themeFill="background1"/>
            <w:vAlign w:val="center"/>
            <w:hideMark/>
          </w:tcPr>
          <w:p w14:paraId="54221569"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3A9C363C"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5FA54F3C" w14:textId="77777777" w:rsidTr="00CC4E69">
        <w:trPr>
          <w:trHeight w:val="146"/>
          <w:tblCellSpacing w:w="15" w:type="dxa"/>
        </w:trPr>
        <w:tc>
          <w:tcPr>
            <w:tcW w:w="0" w:type="auto"/>
            <w:shd w:val="clear" w:color="auto" w:fill="FFFFFF" w:themeFill="background1"/>
            <w:vAlign w:val="center"/>
            <w:hideMark/>
          </w:tcPr>
          <w:p w14:paraId="5257A1D3"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Ingresos Derivados de Financiamientos</w:t>
            </w:r>
          </w:p>
        </w:tc>
        <w:tc>
          <w:tcPr>
            <w:tcW w:w="0" w:type="auto"/>
            <w:shd w:val="clear" w:color="auto" w:fill="FFFFFF" w:themeFill="background1"/>
            <w:vAlign w:val="center"/>
            <w:hideMark/>
          </w:tcPr>
          <w:p w14:paraId="06E80C80"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0F342CBF"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9D13C4" w:rsidRPr="009D13C4" w14:paraId="5C48D0F8" w14:textId="77777777" w:rsidTr="00CC4E69">
        <w:trPr>
          <w:trHeight w:val="146"/>
          <w:tblCellSpacing w:w="15" w:type="dxa"/>
        </w:trPr>
        <w:tc>
          <w:tcPr>
            <w:tcW w:w="0" w:type="auto"/>
            <w:shd w:val="clear" w:color="auto" w:fill="FFFFFF" w:themeFill="background1"/>
            <w:vAlign w:val="center"/>
            <w:hideMark/>
          </w:tcPr>
          <w:p w14:paraId="63DDA54F" w14:textId="77777777" w:rsidR="0039271A" w:rsidRPr="009D13C4" w:rsidRDefault="0039271A" w:rsidP="0039271A">
            <w:pPr>
              <w:spacing w:after="0" w:line="240" w:lineRule="auto"/>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 Otros Ingresos presupuestarios no contables</w:t>
            </w:r>
          </w:p>
        </w:tc>
        <w:tc>
          <w:tcPr>
            <w:tcW w:w="0" w:type="auto"/>
            <w:shd w:val="clear" w:color="auto" w:fill="FFFFFF" w:themeFill="background1"/>
            <w:vAlign w:val="center"/>
            <w:hideMark/>
          </w:tcPr>
          <w:p w14:paraId="491BB2D9"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r w:rsidRPr="009D13C4">
              <w:rPr>
                <w:rFonts w:ascii="Arial" w:eastAsia="Times New Roman" w:hAnsi="Arial" w:cs="Arial"/>
                <w:color w:val="000000" w:themeColor="text1"/>
                <w:sz w:val="14"/>
                <w:szCs w:val="14"/>
                <w:lang w:eastAsia="es-MX"/>
              </w:rPr>
              <w:t>$0.00</w:t>
            </w:r>
          </w:p>
        </w:tc>
        <w:tc>
          <w:tcPr>
            <w:tcW w:w="0" w:type="auto"/>
            <w:shd w:val="clear" w:color="auto" w:fill="FFFFFF" w:themeFill="background1"/>
            <w:vAlign w:val="center"/>
            <w:hideMark/>
          </w:tcPr>
          <w:p w14:paraId="46A8FEEE" w14:textId="77777777" w:rsidR="0039271A" w:rsidRPr="009D13C4" w:rsidRDefault="0039271A" w:rsidP="0039271A">
            <w:pPr>
              <w:spacing w:after="0" w:line="240" w:lineRule="auto"/>
              <w:jc w:val="right"/>
              <w:rPr>
                <w:rFonts w:ascii="Arial" w:eastAsia="Times New Roman" w:hAnsi="Arial" w:cs="Arial"/>
                <w:color w:val="000000" w:themeColor="text1"/>
                <w:sz w:val="14"/>
                <w:szCs w:val="14"/>
                <w:lang w:eastAsia="es-MX"/>
              </w:rPr>
            </w:pPr>
          </w:p>
        </w:tc>
      </w:tr>
      <w:tr w:rsidR="00DB51B8" w:rsidRPr="00B3502E" w14:paraId="37371225" w14:textId="77777777" w:rsidTr="00CC4E69">
        <w:trPr>
          <w:trHeight w:val="146"/>
          <w:tblCellSpacing w:w="15" w:type="dxa"/>
        </w:trPr>
        <w:tc>
          <w:tcPr>
            <w:tcW w:w="0" w:type="auto"/>
            <w:shd w:val="clear" w:color="auto" w:fill="A6A6A6" w:themeFill="background1" w:themeFillShade="A6"/>
            <w:vAlign w:val="center"/>
            <w:hideMark/>
          </w:tcPr>
          <w:p w14:paraId="70859222" w14:textId="77777777" w:rsidR="00DB51B8" w:rsidRPr="008E066D" w:rsidRDefault="00DB51B8" w:rsidP="00DB51B8">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A6A6A6" w:themeFill="background1" w:themeFillShade="A6"/>
            <w:vAlign w:val="center"/>
            <w:hideMark/>
          </w:tcPr>
          <w:p w14:paraId="4F440C99" w14:textId="77777777" w:rsidR="00DB51B8" w:rsidRPr="008E066D" w:rsidRDefault="00DB51B8" w:rsidP="00DB51B8">
            <w:pPr>
              <w:spacing w:after="0" w:line="240" w:lineRule="auto"/>
              <w:rPr>
                <w:rFonts w:ascii="Arial" w:eastAsia="Times New Roman" w:hAnsi="Arial" w:cs="Arial"/>
                <w:color w:val="002060"/>
                <w:sz w:val="14"/>
                <w:szCs w:val="14"/>
                <w:lang w:eastAsia="es-MX"/>
              </w:rPr>
            </w:pPr>
          </w:p>
        </w:tc>
        <w:tc>
          <w:tcPr>
            <w:tcW w:w="0" w:type="auto"/>
            <w:shd w:val="clear" w:color="auto" w:fill="A6A6A6" w:themeFill="background1" w:themeFillShade="A6"/>
            <w:vAlign w:val="center"/>
            <w:hideMark/>
          </w:tcPr>
          <w:p w14:paraId="00A4394E" w14:textId="573C9390" w:rsidR="00DB51B8" w:rsidRPr="008E066D" w:rsidRDefault="005A1206" w:rsidP="009D13C4">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sidR="009D13C4">
              <w:rPr>
                <w:rFonts w:ascii="Calibri" w:hAnsi="Calibri" w:cs="Calibri"/>
                <w:b/>
                <w:bCs/>
                <w:color w:val="002060"/>
                <w:sz w:val="16"/>
                <w:szCs w:val="16"/>
              </w:rPr>
              <w:t xml:space="preserve"> 1,600,887,563.08</w:t>
            </w:r>
            <w:r>
              <w:rPr>
                <w:rFonts w:ascii="Calibri" w:hAnsi="Calibri" w:cs="Calibri"/>
                <w:b/>
                <w:bCs/>
                <w:color w:val="002060"/>
                <w:sz w:val="16"/>
                <w:szCs w:val="16"/>
              </w:rPr>
              <w:t xml:space="preserve"> </w:t>
            </w:r>
          </w:p>
        </w:tc>
      </w:tr>
    </w:tbl>
    <w:p w14:paraId="26CABB45" w14:textId="77777777"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198380DA" w14:textId="77777777"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0B01ACD7" w14:textId="77777777"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286580A3" w14:textId="65A0D523"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661D9EB7" w14:textId="77777777" w:rsidR="00D22572" w:rsidRDefault="00D22572" w:rsidP="000B17AC">
      <w:pPr>
        <w:spacing w:before="100" w:beforeAutospacing="1" w:after="100" w:afterAutospacing="1" w:line="240" w:lineRule="auto"/>
        <w:rPr>
          <w:rFonts w:ascii="Arial" w:eastAsia="Times New Roman" w:hAnsi="Arial" w:cs="Arial"/>
          <w:b/>
          <w:sz w:val="15"/>
          <w:szCs w:val="15"/>
          <w:lang w:eastAsia="es-MX"/>
        </w:rPr>
      </w:pPr>
    </w:p>
    <w:p w14:paraId="2BA463D0" w14:textId="60473FC0" w:rsidR="00C766BB" w:rsidRPr="00CC4E69" w:rsidRDefault="00C766BB" w:rsidP="000B17AC">
      <w:pPr>
        <w:spacing w:before="100" w:beforeAutospacing="1" w:after="100" w:afterAutospacing="1" w:line="240" w:lineRule="auto"/>
        <w:rPr>
          <w:rFonts w:ascii="Arial" w:eastAsia="Times New Roman" w:hAnsi="Arial" w:cs="Arial"/>
          <w:b/>
          <w:sz w:val="15"/>
          <w:szCs w:val="15"/>
          <w:lang w:eastAsia="es-MX"/>
        </w:rPr>
      </w:pPr>
      <w:r w:rsidRPr="002258DF">
        <w:rPr>
          <w:rFonts w:ascii="Arial" w:eastAsia="Times New Roman" w:hAnsi="Arial" w:cs="Arial"/>
          <w:b/>
          <w:sz w:val="15"/>
          <w:szCs w:val="15"/>
          <w:lang w:eastAsia="es-MX"/>
        </w:rPr>
        <w:lastRenderedPageBreak/>
        <w:t>Conciliación entre los egresos presupuestarios y los gastos contables.</w:t>
      </w:r>
    </w:p>
    <w:p w14:paraId="06A30CEC" w14:textId="291A9BBA" w:rsidR="00AA6B97" w:rsidRDefault="003C151E" w:rsidP="000B17AC">
      <w:pPr>
        <w:spacing w:before="100" w:beforeAutospacing="1" w:after="100" w:afterAutospacing="1" w:line="240" w:lineRule="auto"/>
        <w:rPr>
          <w:rFonts w:ascii="Arial" w:eastAsia="Times New Roman" w:hAnsi="Arial" w:cs="Arial"/>
          <w:sz w:val="15"/>
          <w:szCs w:val="15"/>
          <w:lang w:eastAsia="es-MX"/>
        </w:rPr>
      </w:pPr>
      <w:r w:rsidRPr="003C151E">
        <w:rPr>
          <w:noProof/>
          <w:lang w:eastAsia="es-MX"/>
        </w:rPr>
        <w:drawing>
          <wp:inline distT="0" distB="0" distL="0" distR="0" wp14:anchorId="7D383585" wp14:editId="2DEDB00C">
            <wp:extent cx="5612130" cy="3755030"/>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3755030"/>
                    </a:xfrm>
                    <a:prstGeom prst="rect">
                      <a:avLst/>
                    </a:prstGeom>
                    <a:noFill/>
                    <a:ln>
                      <a:noFill/>
                    </a:ln>
                  </pic:spPr>
                </pic:pic>
              </a:graphicData>
            </a:graphic>
          </wp:inline>
        </w:drawing>
      </w:r>
    </w:p>
    <w:p w14:paraId="585A53F0" w14:textId="14B136EB"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0D643B60" w14:textId="6FC13C98" w:rsidR="00C766BB" w:rsidRDefault="00C766BB" w:rsidP="00C766BB">
      <w:pPr>
        <w:spacing w:before="100" w:beforeAutospacing="1" w:after="100" w:afterAutospacing="1" w:line="240" w:lineRule="auto"/>
        <w:rPr>
          <w:rFonts w:ascii="Arial" w:eastAsia="Times New Roman" w:hAnsi="Arial" w:cs="Arial"/>
          <w:b/>
          <w:bCs/>
          <w:sz w:val="15"/>
          <w:szCs w:val="15"/>
          <w:lang w:eastAsia="es-MX"/>
        </w:rPr>
      </w:pPr>
      <w:r w:rsidRPr="006C2251">
        <w:rPr>
          <w:rFonts w:ascii="Arial" w:eastAsia="Times New Roman" w:hAnsi="Arial" w:cs="Arial"/>
          <w:b/>
          <w:bCs/>
          <w:sz w:val="15"/>
          <w:szCs w:val="15"/>
          <w:lang w:eastAsia="es-MX"/>
        </w:rPr>
        <w:t>Cuentas de Orden</w:t>
      </w:r>
      <w:r w:rsidR="009D79E7">
        <w:rPr>
          <w:rFonts w:ascii="Arial" w:eastAsia="Times New Roman" w:hAnsi="Arial" w:cs="Arial"/>
          <w:b/>
          <w:bCs/>
          <w:sz w:val="15"/>
          <w:szCs w:val="15"/>
          <w:lang w:eastAsia="es-MX"/>
        </w:rPr>
        <w:t xml:space="preserve"> Contable</w:t>
      </w:r>
      <w:r>
        <w:rPr>
          <w:rFonts w:ascii="Arial" w:eastAsia="Times New Roman" w:hAnsi="Arial" w:cs="Arial"/>
          <w:b/>
          <w:bCs/>
          <w:sz w:val="15"/>
          <w:szCs w:val="15"/>
          <w:lang w:eastAsia="es-MX"/>
        </w:rPr>
        <w:t>:</w:t>
      </w:r>
    </w:p>
    <w:p w14:paraId="168CF782" w14:textId="2F3F9C9D" w:rsidR="001E7B81" w:rsidRDefault="001E7B81" w:rsidP="001E7B8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sz w:val="15"/>
          <w:szCs w:val="15"/>
          <w:lang w:eastAsia="es-MX"/>
        </w:rPr>
        <w:t xml:space="preserve">Registro respecto al reconocimiento en Cuentas de Orden de los Bienes Inmuebles en concesión del </w:t>
      </w:r>
      <w:r w:rsidR="008902FC">
        <w:rPr>
          <w:rFonts w:ascii="Arial" w:eastAsia="Times New Roman" w:hAnsi="Arial" w:cs="Arial"/>
          <w:bCs/>
          <w:sz w:val="15"/>
          <w:szCs w:val="15"/>
          <w:lang w:eastAsia="es-MX"/>
        </w:rPr>
        <w:t xml:space="preserve">Municipio de Corregidora Qro, se debe </w:t>
      </w:r>
      <w:r w:rsidR="008902FC" w:rsidRPr="008902FC">
        <w:rPr>
          <w:rFonts w:ascii="Arial" w:eastAsia="Times New Roman" w:hAnsi="Arial" w:cs="Arial"/>
          <w:bCs/>
          <w:sz w:val="15"/>
          <w:szCs w:val="15"/>
          <w:lang w:eastAsia="es-MX"/>
        </w:rPr>
        <w:t>por concepto de registro de bienes bajo contrato en concesión identificado como Puente Peatonal UAQ ubicado en Av. Paseo Constituyentes.</w:t>
      </w:r>
    </w:p>
    <w:p w14:paraId="31406DE0" w14:textId="51718117" w:rsidR="009D79E7" w:rsidRDefault="009D79E7" w:rsidP="00A51BDB">
      <w:pPr>
        <w:spacing w:before="100" w:beforeAutospacing="1" w:after="100" w:afterAutospacing="1" w:line="240" w:lineRule="auto"/>
        <w:rPr>
          <w:rFonts w:ascii="Arial" w:eastAsia="Times New Roman" w:hAnsi="Arial" w:cs="Arial"/>
          <w:b/>
          <w:bCs/>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 xml:space="preserve"> Presupuestarias:</w:t>
      </w:r>
    </w:p>
    <w:p w14:paraId="0A723BC8" w14:textId="11E2852D" w:rsidR="00011E53" w:rsidRDefault="00011E53" w:rsidP="00A51BDB">
      <w:pPr>
        <w:spacing w:before="100" w:beforeAutospacing="1" w:after="100" w:afterAutospacing="1" w:line="240" w:lineRule="auto"/>
        <w:rPr>
          <w:rFonts w:ascii="Arial" w:eastAsia="Times New Roman" w:hAnsi="Arial" w:cs="Arial"/>
          <w:sz w:val="15"/>
          <w:szCs w:val="15"/>
          <w:lang w:eastAsia="es-MX"/>
        </w:rPr>
      </w:pPr>
      <w:r w:rsidRPr="00011E53">
        <w:rPr>
          <w:rFonts w:ascii="Arial" w:eastAsia="Times New Roman" w:hAnsi="Arial" w:cs="Arial"/>
          <w:sz w:val="15"/>
          <w:szCs w:val="15"/>
          <w:lang w:eastAsia="es-MX"/>
        </w:rPr>
        <w:t xml:space="preserve">Se informa </w:t>
      </w:r>
      <w:r w:rsidR="007268C2">
        <w:rPr>
          <w:rFonts w:ascii="Arial" w:eastAsia="Times New Roman" w:hAnsi="Arial" w:cs="Arial"/>
          <w:sz w:val="15"/>
          <w:szCs w:val="15"/>
          <w:lang w:eastAsia="es-MX"/>
        </w:rPr>
        <w:t xml:space="preserve">sobre los registros </w:t>
      </w:r>
      <w:r w:rsidRPr="00011E53">
        <w:rPr>
          <w:rFonts w:ascii="Arial" w:eastAsia="Times New Roman" w:hAnsi="Arial" w:cs="Arial"/>
          <w:sz w:val="15"/>
          <w:szCs w:val="15"/>
          <w:lang w:eastAsia="es-MX"/>
        </w:rPr>
        <w:t>en las cuentas de orden presupuesta</w:t>
      </w:r>
      <w:r>
        <w:rPr>
          <w:rFonts w:ascii="Arial" w:eastAsia="Times New Roman" w:hAnsi="Arial" w:cs="Arial"/>
          <w:sz w:val="15"/>
          <w:szCs w:val="15"/>
          <w:lang w:eastAsia="es-MX"/>
        </w:rPr>
        <w:t>rias al 31 de diciembre del 2021</w:t>
      </w:r>
    </w:p>
    <w:p w14:paraId="022FFD35" w14:textId="15D779C6" w:rsidR="007C2AF6" w:rsidRDefault="00011E53" w:rsidP="000B17AC">
      <w:pPr>
        <w:spacing w:before="100" w:beforeAutospacing="1" w:after="100" w:afterAutospacing="1" w:line="240" w:lineRule="auto"/>
        <w:rPr>
          <w:rFonts w:ascii="Arial" w:eastAsia="Times New Roman" w:hAnsi="Arial" w:cs="Arial"/>
          <w:b/>
          <w:sz w:val="15"/>
          <w:szCs w:val="15"/>
          <w:lang w:eastAsia="es-MX"/>
        </w:rPr>
      </w:pPr>
      <w:r w:rsidRPr="00011E53">
        <w:rPr>
          <w:rFonts w:ascii="Arial" w:eastAsia="Times New Roman" w:hAnsi="Arial" w:cs="Arial"/>
          <w:b/>
          <w:sz w:val="15"/>
          <w:szCs w:val="15"/>
          <w:lang w:eastAsia="es-MX"/>
        </w:rPr>
        <w:t>Ingresos</w:t>
      </w:r>
    </w:p>
    <w:p w14:paraId="0667668B" w14:textId="19CC77F5" w:rsidR="00011E53" w:rsidRDefault="00763FEA" w:rsidP="000B17AC">
      <w:pPr>
        <w:spacing w:before="100" w:beforeAutospacing="1" w:after="100" w:afterAutospacing="1" w:line="240" w:lineRule="auto"/>
        <w:rPr>
          <w:rFonts w:ascii="Arial" w:eastAsia="Times New Roman" w:hAnsi="Arial" w:cs="Arial"/>
          <w:b/>
          <w:sz w:val="15"/>
          <w:szCs w:val="15"/>
          <w:lang w:eastAsia="es-MX"/>
        </w:rPr>
      </w:pPr>
      <w:r w:rsidRPr="00763FEA">
        <w:rPr>
          <w:noProof/>
          <w:lang w:eastAsia="es-MX"/>
        </w:rPr>
        <w:drawing>
          <wp:inline distT="0" distB="0" distL="0" distR="0" wp14:anchorId="01880FC2" wp14:editId="3317E686">
            <wp:extent cx="5612130" cy="1064527"/>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064527"/>
                    </a:xfrm>
                    <a:prstGeom prst="rect">
                      <a:avLst/>
                    </a:prstGeom>
                    <a:noFill/>
                    <a:ln>
                      <a:noFill/>
                    </a:ln>
                  </pic:spPr>
                </pic:pic>
              </a:graphicData>
            </a:graphic>
          </wp:inline>
        </w:drawing>
      </w:r>
    </w:p>
    <w:p w14:paraId="438F7170" w14:textId="77777777" w:rsidR="007A66C9" w:rsidRDefault="007A66C9" w:rsidP="000B17AC">
      <w:pPr>
        <w:spacing w:before="100" w:beforeAutospacing="1" w:after="100" w:afterAutospacing="1" w:line="240" w:lineRule="auto"/>
        <w:rPr>
          <w:rFonts w:ascii="Arial" w:eastAsia="Times New Roman" w:hAnsi="Arial" w:cs="Arial"/>
          <w:b/>
          <w:sz w:val="15"/>
          <w:szCs w:val="15"/>
          <w:lang w:eastAsia="es-MX"/>
        </w:rPr>
      </w:pPr>
    </w:p>
    <w:p w14:paraId="61D9D472" w14:textId="77777777" w:rsidR="007A66C9" w:rsidRDefault="007A66C9" w:rsidP="000B17AC">
      <w:pPr>
        <w:spacing w:before="100" w:beforeAutospacing="1" w:after="100" w:afterAutospacing="1" w:line="240" w:lineRule="auto"/>
        <w:rPr>
          <w:rFonts w:ascii="Arial" w:eastAsia="Times New Roman" w:hAnsi="Arial" w:cs="Arial"/>
          <w:b/>
          <w:sz w:val="15"/>
          <w:szCs w:val="15"/>
          <w:lang w:eastAsia="es-MX"/>
        </w:rPr>
      </w:pPr>
    </w:p>
    <w:p w14:paraId="0E89DC43" w14:textId="77777777" w:rsidR="007A66C9" w:rsidRDefault="007A66C9" w:rsidP="000B17AC">
      <w:pPr>
        <w:spacing w:before="100" w:beforeAutospacing="1" w:after="100" w:afterAutospacing="1" w:line="240" w:lineRule="auto"/>
        <w:rPr>
          <w:rFonts w:ascii="Arial" w:eastAsia="Times New Roman" w:hAnsi="Arial" w:cs="Arial"/>
          <w:b/>
          <w:sz w:val="15"/>
          <w:szCs w:val="15"/>
          <w:lang w:eastAsia="es-MX"/>
        </w:rPr>
      </w:pPr>
    </w:p>
    <w:p w14:paraId="058F79D0" w14:textId="725052EA" w:rsidR="00011E53" w:rsidRDefault="00011E53" w:rsidP="000B17AC">
      <w:pPr>
        <w:spacing w:before="100" w:beforeAutospacing="1" w:after="100" w:afterAutospacing="1" w:line="240" w:lineRule="auto"/>
        <w:rPr>
          <w:rFonts w:ascii="Arial" w:eastAsia="Times New Roman" w:hAnsi="Arial" w:cs="Arial"/>
          <w:b/>
          <w:sz w:val="15"/>
          <w:szCs w:val="15"/>
          <w:lang w:eastAsia="es-MX"/>
        </w:rPr>
      </w:pPr>
      <w:r>
        <w:rPr>
          <w:rFonts w:ascii="Arial" w:eastAsia="Times New Roman" w:hAnsi="Arial" w:cs="Arial"/>
          <w:b/>
          <w:sz w:val="15"/>
          <w:szCs w:val="15"/>
          <w:lang w:eastAsia="es-MX"/>
        </w:rPr>
        <w:lastRenderedPageBreak/>
        <w:t>Egresos</w:t>
      </w:r>
    </w:p>
    <w:p w14:paraId="2EEC3D86" w14:textId="1745FE83" w:rsidR="00011E53" w:rsidRPr="00011E53" w:rsidRDefault="00DF31A8" w:rsidP="000B17AC">
      <w:pPr>
        <w:spacing w:before="100" w:beforeAutospacing="1" w:after="100" w:afterAutospacing="1" w:line="240" w:lineRule="auto"/>
        <w:rPr>
          <w:rFonts w:ascii="Arial" w:eastAsia="Times New Roman" w:hAnsi="Arial" w:cs="Arial"/>
          <w:b/>
          <w:sz w:val="15"/>
          <w:szCs w:val="15"/>
          <w:lang w:eastAsia="es-MX"/>
        </w:rPr>
      </w:pPr>
      <w:r w:rsidRPr="00DF31A8">
        <w:rPr>
          <w:noProof/>
          <w:lang w:eastAsia="es-MX"/>
        </w:rPr>
        <w:drawing>
          <wp:inline distT="0" distB="0" distL="0" distR="0" wp14:anchorId="0789E220" wp14:editId="618581C0">
            <wp:extent cx="5612130" cy="1240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240628"/>
                    </a:xfrm>
                    <a:prstGeom prst="rect">
                      <a:avLst/>
                    </a:prstGeom>
                    <a:noFill/>
                    <a:ln>
                      <a:noFill/>
                    </a:ln>
                  </pic:spPr>
                </pic:pic>
              </a:graphicData>
            </a:graphic>
          </wp:inline>
        </w:drawing>
      </w:r>
    </w:p>
    <w:p w14:paraId="565019C6" w14:textId="67DABBEC"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007E3D63" w14:textId="1070C414" w:rsidR="00536924" w:rsidRPr="000D3BF1" w:rsidRDefault="00536924" w:rsidP="000D3BF1">
      <w:pPr>
        <w:spacing w:before="100" w:beforeAutospacing="1" w:after="100" w:afterAutospacing="1"/>
        <w:rPr>
          <w:rFonts w:ascii="Arial" w:eastAsia="Times New Roman" w:hAnsi="Arial" w:cs="Arial"/>
          <w:b/>
          <w:sz w:val="15"/>
          <w:szCs w:val="15"/>
          <w:lang w:eastAsia="es-MX"/>
        </w:rPr>
      </w:pPr>
      <w:r w:rsidRPr="000D3BF1">
        <w:rPr>
          <w:rFonts w:ascii="Arial" w:eastAsia="Times New Roman" w:hAnsi="Arial" w:cs="Arial"/>
          <w:b/>
          <w:sz w:val="15"/>
          <w:szCs w:val="15"/>
          <w:lang w:eastAsia="es-MX"/>
        </w:rPr>
        <w:t xml:space="preserve">Introducción. </w:t>
      </w:r>
    </w:p>
    <w:p w14:paraId="0605BEF5"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El objeto de los Estados Financieros de los entes públicos es proveer de información financiera a los principales usuarios de la misma, a la Legislatura y a los ciudadanos.</w:t>
      </w:r>
    </w:p>
    <w:p w14:paraId="257B7521"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C4933D6"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565FCF"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5FA68032" w14:textId="03E93910" w:rsidR="00536924" w:rsidRPr="00A06050" w:rsidRDefault="00536924" w:rsidP="000D3BF1">
      <w:pPr>
        <w:pStyle w:val="Ttulo6"/>
        <w:rPr>
          <w:rFonts w:eastAsia="Times New Roman"/>
          <w:lang w:eastAsia="es-MX"/>
        </w:rPr>
      </w:pPr>
      <w:r w:rsidRPr="00536924">
        <w:rPr>
          <w:rFonts w:ascii="Arial" w:eastAsia="Times New Roman" w:hAnsi="Arial" w:cs="Arial"/>
          <w:b/>
          <w:color w:val="auto"/>
          <w:sz w:val="15"/>
          <w:szCs w:val="15"/>
          <w:lang w:val="es-ES" w:eastAsia="es-MX"/>
        </w:rPr>
        <w:t>Panorama Económico y Financiero.</w:t>
      </w:r>
      <w:r w:rsidRPr="00B3502E">
        <w:rPr>
          <w:rFonts w:eastAsia="Times New Roman"/>
          <w:lang w:eastAsia="es-MX"/>
        </w:rPr>
        <w:t xml:space="preserve"> </w:t>
      </w:r>
    </w:p>
    <w:p w14:paraId="1190E74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A la fecha de la elaboración de </w:t>
      </w:r>
      <w:r w:rsidRPr="00536924">
        <w:rPr>
          <w:rFonts w:ascii="Arial" w:eastAsia="Times New Roman" w:hAnsi="Arial" w:cs="Arial"/>
          <w:b/>
          <w:sz w:val="15"/>
          <w:szCs w:val="15"/>
          <w:lang w:val="es-ES" w:eastAsia="es-MX"/>
        </w:rPr>
        <w:t>los</w:t>
      </w:r>
      <w:r w:rsidRPr="00536924">
        <w:rPr>
          <w:rFonts w:ascii="Arial" w:eastAsia="Times New Roman" w:hAnsi="Arial" w:cs="Arial"/>
          <w:sz w:val="15"/>
          <w:szCs w:val="15"/>
          <w:lang w:eastAsia="es-MX"/>
        </w:rPr>
        <w:t xml:space="preserve"> presentes estados financieros, a nivel nacional e internacional la economía se encuentra en una situación de incertidumbre, con una inflación generalizada derivada de los efectos de las diversas oleadas de la Pandemia Covid-19 en sus diferentes variantes. El Banco de México en el último informe trimestral disponible (julio-septiembre 2021) destaca que a disminución en el ritmo de crecimiento de la economía mundial durante el trimestre julio-septiembre respondió, por un lado, a afectaciones continuas en las cadenas globales de suministro debido, entre otros factores, a la interrupción de algunas actividades productivas y, por el otro, al repunte de contagios por la variante Delta del virus SARS-CoV-2. Explica que La recuperación de la economía mundial se percibe incierta, ya que aún existen riesgos asociados a la evolución de la pandemia y a la aparición de nuevas variantes del virus, a la posibilidad de que las interrupciones en las cadenas globales de suministro se extiendan por más tiempo, a que los apoyos (estímulos económicos) del gobierno disminuyan en algunos países, y a que los mercados financieros registren mayor volatilidad. Lo anterior podría contrarrestarse si se acelera el proceso de vacunación a nivel mundial o surgen nuevos tratamientos médicos para el COVID-19 que contribuyan a mantener abiertas las distintas actividades económicas.</w:t>
      </w:r>
    </w:p>
    <w:p w14:paraId="7F05D5A6" w14:textId="77777777" w:rsidR="00536924" w:rsidRPr="00703C72" w:rsidRDefault="00620DCB" w:rsidP="00536924">
      <w:pPr>
        <w:pStyle w:val="Ttulo3"/>
        <w:spacing w:before="0" w:beforeAutospacing="0" w:after="0" w:afterAutospacing="0"/>
        <w:jc w:val="both"/>
        <w:rPr>
          <w:rFonts w:ascii="Arial" w:hAnsi="Arial" w:cs="Arial"/>
          <w:bCs w:val="0"/>
          <w:sz w:val="15"/>
          <w:szCs w:val="15"/>
        </w:rPr>
      </w:pPr>
      <w:hyperlink r:id="rId33" w:anchor="collapse1" w:history="1">
        <w:r w:rsidR="00536924" w:rsidRPr="00703C72">
          <w:rPr>
            <w:rFonts w:ascii="Arial" w:hAnsi="Arial" w:cs="Arial"/>
            <w:bCs w:val="0"/>
            <w:sz w:val="15"/>
            <w:szCs w:val="15"/>
          </w:rPr>
          <w:t>gráfica: Cómo el PIB mundial sigue recuperándose, aunque a un ritmo más moderado, ante la aceleración en el proceso de vacunación y el relajamiento de restricciones a la movilidad</w:t>
        </w:r>
      </w:hyperlink>
    </w:p>
    <w:p w14:paraId="1DE2445B" w14:textId="77777777" w:rsidR="00536924" w:rsidRDefault="00536924" w:rsidP="00536924">
      <w:pPr>
        <w:jc w:val="both"/>
        <w:rPr>
          <w:rFonts w:ascii="Arial" w:eastAsia="Times New Roman" w:hAnsi="Arial" w:cs="Arial"/>
          <w:sz w:val="15"/>
          <w:szCs w:val="15"/>
          <w:lang w:eastAsia="es-MX"/>
        </w:rPr>
      </w:pPr>
    </w:p>
    <w:p w14:paraId="0C652510" w14:textId="77777777" w:rsidR="00536924" w:rsidRDefault="00536924" w:rsidP="00536924">
      <w:pPr>
        <w:jc w:val="both"/>
        <w:rPr>
          <w:rFonts w:ascii="Arial" w:eastAsia="Times New Roman" w:hAnsi="Arial" w:cs="Arial"/>
          <w:sz w:val="15"/>
          <w:szCs w:val="15"/>
          <w:lang w:eastAsia="es-MX"/>
        </w:rPr>
      </w:pPr>
      <w:r>
        <w:rPr>
          <w:noProof/>
          <w:lang w:eastAsia="es-MX"/>
        </w:rPr>
        <w:drawing>
          <wp:inline distT="0" distB="0" distL="0" distR="0" wp14:anchorId="5B244A41" wp14:editId="2CC9BA15">
            <wp:extent cx="4820652" cy="1746455"/>
            <wp:effectExtent l="0" t="0" r="0" b="6350"/>
            <wp:docPr id="2" name="Imagen 2" descr="https://www.banxico.org.mx/multimedia/RVITjulsep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xico.org.mx/multimedia/RVITjulsep202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7019" cy="1777745"/>
                    </a:xfrm>
                    <a:prstGeom prst="rect">
                      <a:avLst/>
                    </a:prstGeom>
                    <a:noFill/>
                    <a:ln>
                      <a:noFill/>
                    </a:ln>
                  </pic:spPr>
                </pic:pic>
              </a:graphicData>
            </a:graphic>
          </wp:inline>
        </w:drawing>
      </w:r>
    </w:p>
    <w:p w14:paraId="1F4B8DA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lastRenderedPageBreak/>
        <w:t>A nivel nacional el análisis del Banco de México informa que, durante el tercer trimestre de 2021, el Producto Interno Bruto (PIB) se contrajo 0.43% respecto del trimestre anterior. Los servicios registraron una caída debido al recrudecimiento de la pandemia y a la reducción en el gasto destinado a servicios profesionales y de apoyo a los negocios ante la transición a la nueva regulación en materia de subcontratación laboral. Por el lado de la actividad industrial, la industria automotriz continuó presentando una baja producción debido a la persistente escasez de semiconductores.</w:t>
      </w:r>
    </w:p>
    <w:p w14:paraId="308664B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Los indicadores del mercado laboral presentaron cierta mejoría. En particular, la ocupación alcanzó un nivel similar al reportado antes de la pandemia, revirtiendo las pérdidas de empleo registradas en abril de 2020. Respecto de los puestos afiliados al IMSS, se observó una recomposición (de empleos eventuales a permanentes) en respuesta a la nueva regulación en materia de subcontratación laboral.</w:t>
      </w:r>
    </w:p>
    <w:p w14:paraId="2ED3600E" w14:textId="77777777" w:rsidR="00536924" w:rsidRDefault="00536924" w:rsidP="00536924">
      <w:pPr>
        <w:spacing w:before="100" w:beforeAutospacing="1" w:after="100" w:afterAutospacing="1" w:line="240" w:lineRule="auto"/>
        <w:jc w:val="both"/>
        <w:rPr>
          <w:lang w:eastAsia="es-MX"/>
        </w:rPr>
      </w:pPr>
      <w:r w:rsidRPr="00536924">
        <w:rPr>
          <w:rFonts w:ascii="Arial" w:eastAsia="Times New Roman" w:hAnsi="Arial" w:cs="Arial"/>
          <w:sz w:val="15"/>
          <w:szCs w:val="15"/>
          <w:lang w:eastAsia="es-MX"/>
        </w:rPr>
        <w:t>Detalla que la inflación general sigue aumentando. En el tercer trimestre fue de 5.80% y, según el último dato disponible, en la primera quincena de noviembre la inflación se incrementó aún más hasta alcanzar 7.05%., pronosticando que para el último trimestre del año la inflación general se ubique en 6.8% debido a los efectos de la pandemia -que han presionado a la inflación al alza- como una menor disponibilidad de insumos o problemas de logística (transporte, almacenamiento y distribución de mercancías) y la gradual recuperación de la actividad económica. Se prevé que la inflación general disminuya durante 2022 y llegue a niveles cercanos a nuestra meta de 3% en el tercer trimestre de 2023.</w:t>
      </w:r>
    </w:p>
    <w:p w14:paraId="7E18D82B" w14:textId="77777777" w:rsidR="00536924" w:rsidRPr="009D3F0F" w:rsidRDefault="00620DCB" w:rsidP="00536924">
      <w:pPr>
        <w:pStyle w:val="Ttulo3"/>
        <w:spacing w:before="0" w:beforeAutospacing="0" w:after="0" w:afterAutospacing="0"/>
        <w:rPr>
          <w:rFonts w:ascii="Arial" w:hAnsi="Arial" w:cs="Arial"/>
          <w:b w:val="0"/>
          <w:bCs w:val="0"/>
          <w:sz w:val="15"/>
          <w:szCs w:val="15"/>
        </w:rPr>
      </w:pPr>
      <w:hyperlink r:id="rId35" w:anchor="collapse3" w:history="1">
        <w:r w:rsidR="00536924" w:rsidRPr="009D3F0F">
          <w:rPr>
            <w:rFonts w:ascii="Arial" w:hAnsi="Arial" w:cs="Arial"/>
            <w:b w:val="0"/>
            <w:bCs w:val="0"/>
            <w:sz w:val="15"/>
            <w:szCs w:val="15"/>
          </w:rPr>
          <w:t>gráfica: Cómo la pandemia de COVID-19 continúa afectando los niveles de inflación en nuestro país</w:t>
        </w:r>
      </w:hyperlink>
    </w:p>
    <w:p w14:paraId="1A29D6B8" w14:textId="77777777" w:rsidR="00536924" w:rsidRDefault="00536924" w:rsidP="00536924">
      <w:pPr>
        <w:jc w:val="both"/>
        <w:rPr>
          <w:rFonts w:ascii="Arial" w:eastAsia="Times New Roman" w:hAnsi="Arial" w:cs="Arial"/>
          <w:sz w:val="15"/>
          <w:szCs w:val="15"/>
          <w:lang w:eastAsia="es-MX"/>
        </w:rPr>
      </w:pPr>
    </w:p>
    <w:p w14:paraId="521F164D" w14:textId="77777777" w:rsidR="00536924" w:rsidRDefault="00536924" w:rsidP="00536924">
      <w:pPr>
        <w:jc w:val="both"/>
        <w:rPr>
          <w:rFonts w:ascii="Arial" w:eastAsia="Times New Roman" w:hAnsi="Arial" w:cs="Arial"/>
          <w:sz w:val="15"/>
          <w:szCs w:val="15"/>
          <w:lang w:eastAsia="es-MX"/>
        </w:rPr>
      </w:pPr>
      <w:r>
        <w:rPr>
          <w:noProof/>
          <w:lang w:eastAsia="es-MX"/>
        </w:rPr>
        <w:drawing>
          <wp:inline distT="0" distB="0" distL="0" distR="0" wp14:anchorId="5E5E577B" wp14:editId="644EFA4D">
            <wp:extent cx="4076418" cy="2057904"/>
            <wp:effectExtent l="0" t="0" r="635" b="0"/>
            <wp:docPr id="4" name="Imagen 4" descr="https://www.banxico.org.mx/multimedia/RVITjulsep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xico.org.mx/multimedia/RVITjulsep2021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3028" cy="2066289"/>
                    </a:xfrm>
                    <a:prstGeom prst="rect">
                      <a:avLst/>
                    </a:prstGeom>
                    <a:noFill/>
                    <a:ln>
                      <a:noFill/>
                    </a:ln>
                  </pic:spPr>
                </pic:pic>
              </a:graphicData>
            </a:graphic>
          </wp:inline>
        </w:drawing>
      </w:r>
    </w:p>
    <w:p w14:paraId="0DA7706D"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En concordancia con las expectativas manejadas el Banco de México publicó en su encuesta sobre las expectativas de los especialistas en economía del sector privado, publicada en febrero de 2022 que las expectativas de inflación general y subyacente para el cierre de 2022 aumentaron con respecto a la encuesta de diciembre, que para el cierre de 2023, las expectativas de inflación general y subyacente se mantuvieron en niveles similares a los del mes anterior, si bien la mediana de los pronósticos de inflación general se revisó al alza, asimismo las expectativas de crecimiento del PIB real para 2022 y 2023 disminuyeron en relación a la encuesta precedente y por último que las expectativas sobre el nivel del tipo de cambio del peso frente al dólar estadounidense para los cierres de 2022 y 2023 se revisaron a la baja con respecto al mes previo. </w:t>
      </w:r>
    </w:p>
    <w:p w14:paraId="6B90C103"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En la encuesta mencionada, los especialistas se pronuncian sobre el entorno económico y los factores que podrían obstaculizar el crecimiento económico de México, considerando que los principales factores a destacar se asocian con la gobernanza (42%) y las condiciones económicas internas (22%). A nivel particular, los principales factores son: la incertidumbre política interna (15% de las respuestas); las presiones inflacionarias en el país (13% de las respuestas); los problemas de inseguridad pública (12% de las respuestas); la debilidad en el mercado interno (8% de las respuestas); la incertidumbre sobre la situación económica interna (7% de las respuestas); y otros problemas de falta de estado de derecho (7% de las respuestas). El factor gobernanza que tiene la mayor ponderación se integra de componentes que tiene que ver con las políticas públicas a nivel federal . Los tres factores a los que, en promedio, se les asignó un mayor nivel de preocupación son el de gobernanza, inflación y condiciones económicas internas. A nivel particular, los factores a los que se les otorgó un nivel de preocupación mayor o igual a 5 en la encuesta actual son los siguientes (Cuadro 18): los problemas de inseguridad pública; la incertidumbre sobre la situación económica interna; la incertidumbre política interna; otros problemas de falta de estado de derecho; impunidad; corrupción; la debilidad en el mercado interno; la ausencia de cambio estructural en México; las presiones inflacionarias en el país; aumento en precios de insumos y materias primas; la política de gasto público.</w:t>
      </w:r>
    </w:p>
    <w:p w14:paraId="2B4991DE" w14:textId="77777777"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Autorización e Historia</w:t>
      </w:r>
    </w:p>
    <w:p w14:paraId="406DBC3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w:t>
      </w:r>
      <w:r w:rsidRPr="00536924">
        <w:rPr>
          <w:rFonts w:ascii="Arial" w:eastAsia="Times New Roman" w:hAnsi="Arial" w:cs="Arial"/>
          <w:sz w:val="15"/>
          <w:szCs w:val="15"/>
          <w:lang w:eastAsia="es-MX"/>
        </w:rPr>
        <w:tab/>
        <w:t xml:space="preserve">Fecha de creación del Municipio. </w:t>
      </w:r>
    </w:p>
    <w:p w14:paraId="4CD9E677"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asentamientos humanos en el lugar desde hace más de mil años, y que tuvo su mayor 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entrado el siglo XVII, en pleno periodo colonial. Con la Conquista </w:t>
      </w:r>
      <w:r w:rsidRPr="00536924">
        <w:rPr>
          <w:rFonts w:ascii="Arial" w:eastAsia="Times New Roman" w:hAnsi="Arial" w:cs="Arial"/>
          <w:sz w:val="15"/>
          <w:szCs w:val="15"/>
          <w:lang w:eastAsia="es-MX"/>
        </w:rPr>
        <w:lastRenderedPageBreak/>
        <w:t>española posterior a la llegada de de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Gallegos  al pie de la pirámide de El Cerrito, donde los naturales practicaban el culto a sus ídolos.</w:t>
      </w:r>
    </w:p>
    <w:p w14:paraId="5E6B3952"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5282F3AD"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04CB1B7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6B4957F1"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w:t>
      </w:r>
      <w:r w:rsidRPr="00536924">
        <w:rPr>
          <w:rFonts w:ascii="Arial" w:eastAsia="Times New Roman" w:hAnsi="Arial" w:cs="Arial"/>
          <w:sz w:val="15"/>
          <w:szCs w:val="15"/>
          <w:lang w:eastAsia="es-MX"/>
        </w:rPr>
        <w:tab/>
        <w:t xml:space="preserve">Principales cambios en su estructura. </w:t>
      </w:r>
    </w:p>
    <w:p w14:paraId="77BFA56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En el ejercicio analizado se autorizó la liquidación de la entidad descentralizada municipal correspondiente al Instituto Municipal de la Mujer, iniciándose el proceso de liquidación y terminando en este periodo su actividad financiera; en concordancia con la tendencia nacional e internacional de dar importancia a los temas que tienen que ver con el tema de la mujer, se creó la dependencia denominada Secretaría de la Mujer, que absorbe las funciones del Instituto con la finalidad de empoderar la importancia que tienen los temas de equidad de género</w:t>
      </w:r>
    </w:p>
    <w:p w14:paraId="0E39F73B" w14:textId="77777777"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Organización y Objeto social.</w:t>
      </w:r>
    </w:p>
    <w:p w14:paraId="60CE419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w:t>
      </w:r>
      <w:r w:rsidRPr="00536924">
        <w:rPr>
          <w:rFonts w:ascii="Arial" w:eastAsia="Times New Roman" w:hAnsi="Arial" w:cs="Arial"/>
          <w:sz w:val="15"/>
          <w:szCs w:val="15"/>
          <w:lang w:eastAsia="es-MX"/>
        </w:rPr>
        <w:tab/>
        <w:t xml:space="preserve">Objeto social. </w:t>
      </w:r>
    </w:p>
    <w:p w14:paraId="63B614D1"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2C93756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w:t>
      </w:r>
      <w:r w:rsidRPr="00536924">
        <w:rPr>
          <w:rFonts w:ascii="Arial" w:eastAsia="Times New Roman" w:hAnsi="Arial" w:cs="Arial"/>
          <w:sz w:val="15"/>
          <w:szCs w:val="15"/>
          <w:lang w:eastAsia="es-MX"/>
        </w:rPr>
        <w:tab/>
        <w:t xml:space="preserve">Principal actividad. </w:t>
      </w:r>
    </w:p>
    <w:p w14:paraId="300B5585"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Constitucionalmente el municipio tiene a su cargo las funciones y servicios públicos siguientes:</w:t>
      </w:r>
    </w:p>
    <w:p w14:paraId="3DDCA123"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 Agua potable, drenaje, alcantarillado, tratamiento y disposición de sus aguas residuales;</w:t>
      </w:r>
    </w:p>
    <w:p w14:paraId="541EA30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 Alumbrado público.</w:t>
      </w:r>
    </w:p>
    <w:p w14:paraId="3661A2F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 Limpia, recolección, traslado, tratamiento y disposición final de residuos;</w:t>
      </w:r>
    </w:p>
    <w:p w14:paraId="5AB643AF"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 Mercados y centrales de abasto.</w:t>
      </w:r>
    </w:p>
    <w:p w14:paraId="1D4F7BE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 Panteones.</w:t>
      </w:r>
    </w:p>
    <w:p w14:paraId="0D4FF80D"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f) Rastro.</w:t>
      </w:r>
    </w:p>
    <w:p w14:paraId="4FEBBCA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g) Calles, parques y jardines y su equipamiento;</w:t>
      </w:r>
    </w:p>
    <w:p w14:paraId="7C9EDA36" w14:textId="36D8722D"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h) Seguridad pública, en los términos del artículo 21 la Constitución, policía preventiva</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municipal y tránsito; e</w:t>
      </w:r>
    </w:p>
    <w:p w14:paraId="55FF70A9" w14:textId="2CDB081B"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i) Los demás que las Legislaturas locales determinen según las condiciones territoriales y</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socio-económicas de los Municipios, así como su capacidad administrativa y financiera.</w:t>
      </w:r>
    </w:p>
    <w:p w14:paraId="4E7691BE"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lastRenderedPageBreak/>
        <w:t>Asimismo, en términos de las Leyes Federales y Estatales relativas, el municipio mediante el ejercicio de sus facultades realiza actividades para:</w:t>
      </w:r>
    </w:p>
    <w:p w14:paraId="70D1B850" w14:textId="3A1D19A6"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 Formular, aprobar y administrar la zonificación y planes de desarrollo urbano municipal,</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así como los planes en materi</w:t>
      </w:r>
      <w:r w:rsidR="00D22AB4">
        <w:rPr>
          <w:rFonts w:ascii="Arial" w:eastAsia="Times New Roman" w:hAnsi="Arial" w:cs="Arial"/>
          <w:sz w:val="15"/>
          <w:szCs w:val="15"/>
          <w:lang w:eastAsia="es-MX"/>
        </w:rPr>
        <w:t>a de movilidad y seguridad vial.</w:t>
      </w:r>
    </w:p>
    <w:p w14:paraId="3898CFDF"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 Participar en la creación y administración de sus reservas territoriales;</w:t>
      </w:r>
    </w:p>
    <w:p w14:paraId="237884DA" w14:textId="6F6C463A"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 Participar en la formulación de planes de desarrollo regional, los cuales deberán estar en</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concordancia con los planes generales de la materia. Cuando la Federación o los Estados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elaboren proyectos de desarrollo regional deberán asegurar la participación de los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municipios;</w:t>
      </w:r>
    </w:p>
    <w:p w14:paraId="06EB53AD" w14:textId="1F43C4B6"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 Autorizar, controlar y vigilar la utilización del suelo, en el ámbito de su competencia, en</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s</w:t>
      </w:r>
      <w:r w:rsidR="00D22AB4">
        <w:rPr>
          <w:rFonts w:ascii="Arial" w:eastAsia="Times New Roman" w:hAnsi="Arial" w:cs="Arial"/>
          <w:sz w:val="15"/>
          <w:szCs w:val="15"/>
          <w:lang w:eastAsia="es-MX"/>
        </w:rPr>
        <w:t>us jurisdicciones territoriales</w:t>
      </w:r>
    </w:p>
    <w:p w14:paraId="0CF5C5AE"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 Intervenir en la regularización de la tenencia de la tierra urbana;</w:t>
      </w:r>
    </w:p>
    <w:p w14:paraId="4BAD4FA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f) Otorgar licencias y permisos para construcciones;</w:t>
      </w:r>
    </w:p>
    <w:p w14:paraId="7F8D13C2" w14:textId="143E209E"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g) Participar en la creación y administración de zonas de reservas ecológicas y en la</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elaboración y aplicación de programas de ordenamiento en esta materia;</w:t>
      </w:r>
    </w:p>
    <w:p w14:paraId="2FE6B0FB" w14:textId="09483860"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h) Intervenir en la formulación y aplicación de programas de transporte público de pasajeros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cuando aquellos afecten su ámbito territorial; e</w:t>
      </w:r>
    </w:p>
    <w:p w14:paraId="40204BD3"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i) Celebrar convenios para la administración y custodia de las zonas federales.</w:t>
      </w:r>
    </w:p>
    <w:p w14:paraId="3209B1C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w:t>
      </w:r>
      <w:r w:rsidRPr="00536924">
        <w:rPr>
          <w:rFonts w:ascii="Arial" w:eastAsia="Times New Roman" w:hAnsi="Arial" w:cs="Arial"/>
          <w:sz w:val="15"/>
          <w:szCs w:val="15"/>
          <w:lang w:eastAsia="es-MX"/>
        </w:rPr>
        <w:tab/>
        <w:t xml:space="preserve">Ejercicio Fiscal. </w:t>
      </w:r>
    </w:p>
    <w:p w14:paraId="38F6B846"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El ejercicio fiscal analizado comprende del 1 de enero al 31 de diciembre del 2021.</w:t>
      </w:r>
    </w:p>
    <w:p w14:paraId="6C08351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w:t>
      </w:r>
      <w:r w:rsidRPr="00536924">
        <w:rPr>
          <w:rFonts w:ascii="Arial" w:eastAsia="Times New Roman" w:hAnsi="Arial" w:cs="Arial"/>
          <w:sz w:val="15"/>
          <w:szCs w:val="15"/>
          <w:lang w:eastAsia="es-MX"/>
        </w:rPr>
        <w:tab/>
        <w:t xml:space="preserve">Régimen jurídico. </w:t>
      </w:r>
    </w:p>
    <w:p w14:paraId="11EA71A7"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A16DE85"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w:t>
      </w:r>
      <w:r w:rsidRPr="00536924">
        <w:rPr>
          <w:rFonts w:ascii="Arial" w:eastAsia="Times New Roman" w:hAnsi="Arial" w:cs="Arial"/>
          <w:sz w:val="15"/>
          <w:szCs w:val="15"/>
          <w:lang w:eastAsia="es-MX"/>
        </w:rPr>
        <w:tab/>
        <w:t>Consideraciones fiscales del ente: el Municipio está obligado a retener y a enterar dichas retenciones en materia de ISR por sueldo y salarios, arrendamientos y servicios profesionales, así como al pago del ISN.</w:t>
      </w:r>
    </w:p>
    <w:p w14:paraId="0A637FC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f)</w:t>
      </w:r>
      <w:r w:rsidRPr="00536924">
        <w:rPr>
          <w:rFonts w:ascii="Arial" w:eastAsia="Times New Roman" w:hAnsi="Arial" w:cs="Arial"/>
          <w:sz w:val="15"/>
          <w:szCs w:val="15"/>
          <w:lang w:eastAsia="es-MX"/>
        </w:rPr>
        <w:tab/>
        <w:t xml:space="preserve">Estructura organizacional básica. </w:t>
      </w:r>
    </w:p>
    <w:p w14:paraId="262947D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Secretaria de Control y Evaluación. El municipio con la extinción del Instituto Municipal de la Mujer sólo cuenta con una entidad paraestatal denominada Sistema de Desarrollo Integral de la Familia.</w:t>
      </w:r>
    </w:p>
    <w:p w14:paraId="18B4C697" w14:textId="20EC56E4"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Bases de Preparación de los Estados Financieros. </w:t>
      </w:r>
    </w:p>
    <w:p w14:paraId="6A334207" w14:textId="77777777"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B3502E">
        <w:rPr>
          <w:lang w:eastAsia="es-MX"/>
        </w:rPr>
        <w:t>a)</w:t>
      </w:r>
      <w:r>
        <w:rPr>
          <w:lang w:eastAsia="es-MX"/>
        </w:rPr>
        <w:tab/>
      </w:r>
      <w:r w:rsidRPr="000D3BF1">
        <w:rPr>
          <w:rFonts w:ascii="Arial" w:eastAsia="Times New Roman" w:hAnsi="Arial" w:cs="Arial"/>
          <w:sz w:val="15"/>
          <w:szCs w:val="15"/>
          <w:lang w:eastAsia="es-MX"/>
        </w:rPr>
        <w:t>En cumplimiento de la Ley General de Contabilidad Gubernamental y los Lineamiento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 en la materia tanto del CONAC, los de la Ley de Disciplina Financiera de las Entidades Federativas como de las disposiciones legales aplicables.</w:t>
      </w:r>
    </w:p>
    <w:p w14:paraId="4B790911" w14:textId="77777777"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lastRenderedPageBreak/>
        <w:t>b)</w:t>
      </w:r>
      <w:r w:rsidRPr="000D3BF1">
        <w:rPr>
          <w:rFonts w:ascii="Arial" w:eastAsia="Times New Roman" w:hAnsi="Arial" w:cs="Arial"/>
          <w:sz w:val="15"/>
          <w:szCs w:val="15"/>
          <w:lang w:eastAsia="es-MX"/>
        </w:rPr>
        <w:tab/>
        <w:t>en cuanto al 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“Acuerdo por el que se Reforman las Reglas Específicas del Registro y Valoración del Patrimonio” publicadas en el DOF el 13 de diciembre de 2021,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0FDDAE74" w14:textId="77777777"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467A4B9E" w14:textId="77777777" w:rsidR="00536924" w:rsidRPr="00B3502E" w:rsidRDefault="00536924" w:rsidP="000D3BF1">
      <w:pPr>
        <w:spacing w:before="100" w:beforeAutospacing="1" w:after="100" w:afterAutospacing="1" w:line="240" w:lineRule="auto"/>
        <w:jc w:val="both"/>
        <w:rPr>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El Municipio aplica la normatividad vigente dentro de la Ley General de Contabilidad Gubernamental emitida por el CONAC, así como también las disposiciones aplicables en términos generales</w:t>
      </w:r>
      <w:r w:rsidRPr="00B3502E">
        <w:rPr>
          <w:lang w:eastAsia="es-MX"/>
        </w:rPr>
        <w:t>.</w:t>
      </w:r>
    </w:p>
    <w:p w14:paraId="5CB3BE12" w14:textId="77FD2D98"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Políticas de Contabilidad Significativas. </w:t>
      </w:r>
    </w:p>
    <w:p w14:paraId="768F91E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a)</w:t>
      </w:r>
      <w:r w:rsidRPr="000D3BF1">
        <w:rPr>
          <w:rFonts w:ascii="Arial" w:eastAsia="Times New Roman" w:hAnsi="Arial" w:cs="Arial"/>
          <w:sz w:val="15"/>
          <w:szCs w:val="15"/>
          <w:lang w:eastAsia="es-MX"/>
        </w:rPr>
        <w:tab/>
        <w:t>Se informa que para actualizar el activo en bienes muebles se afecta por depreciación, en cuanto a los muebles inmuebles se actualiza con el valor catastral o por subdivisión de los mismos, no se cuenta con una conexión inflacionaria</w:t>
      </w:r>
    </w:p>
    <w:p w14:paraId="7CDE25AF"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b)</w:t>
      </w:r>
      <w:r w:rsidRPr="000D3BF1">
        <w:rPr>
          <w:rFonts w:ascii="Arial" w:eastAsia="Times New Roman" w:hAnsi="Arial" w:cs="Arial"/>
          <w:sz w:val="15"/>
          <w:szCs w:val="15"/>
          <w:lang w:eastAsia="es-MX"/>
        </w:rPr>
        <w:tab/>
        <w:t>Se informa que el municipio no realiza operaciones en el extranjero.</w:t>
      </w:r>
    </w:p>
    <w:p w14:paraId="71589CB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Se informa que el municipio no invierte en acciones de compañías subsidiarias no consolidadas y asociadas.</w:t>
      </w:r>
    </w:p>
    <w:p w14:paraId="6F7FFE5A"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No se cuenta con una valuación de inventarios y costo de lo vendido, toda vez que no se dedica a maquilar y enajenar productos.</w:t>
      </w:r>
    </w:p>
    <w:p w14:paraId="1C4DAAA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e)</w:t>
      </w:r>
      <w:r w:rsidRPr="000D3BF1">
        <w:rPr>
          <w:rFonts w:ascii="Arial" w:eastAsia="Times New Roman" w:hAnsi="Arial" w:cs="Arial"/>
          <w:sz w:val="15"/>
          <w:szCs w:val="15"/>
          <w:lang w:eastAsia="es-MX"/>
        </w:rPr>
        <w:tab/>
        <w:t>Se cuenta con un Estudio Actuarial de pensiones y jubilaciones actualizado al mes de abril mes de abril de 2018</w:t>
      </w:r>
    </w:p>
    <w:p w14:paraId="6A976D33"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f)</w:t>
      </w:r>
      <w:r w:rsidRPr="000D3BF1">
        <w:rPr>
          <w:rFonts w:ascii="Arial" w:eastAsia="Times New Roman" w:hAnsi="Arial" w:cs="Arial"/>
          <w:sz w:val="15"/>
          <w:szCs w:val="15"/>
          <w:lang w:eastAsia="es-MX"/>
        </w:rPr>
        <w:tab/>
        <w:t>Se realizan provisiones mensuales de servicios personales, correspondientes a obligaciones como el Aguinaldo y prima vacacional, mismos que son pagados en dos exhibiciones: en el mes de noviembre y diciembre, la prima vacacional: se paga en junio y diciembre; así mismo se cuenta con una provisión de demandas y juicios a corto plazo.</w:t>
      </w:r>
    </w:p>
    <w:p w14:paraId="4E453CC1"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h)  Como consecuencia de los trabajos de la depuración de diversas cuentas de activo, cuyo efecto neto es una afectación al patrimonio por 0.98 mdp, no ha habido cambio en políticas contables.</w:t>
      </w:r>
    </w:p>
    <w:p w14:paraId="5138A249" w14:textId="643EAD09"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Posición en Moneda Extranjera y Protección por Riesgo Cambiario. </w:t>
      </w:r>
    </w:p>
    <w:p w14:paraId="04B6B32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a)</w:t>
      </w:r>
      <w:r w:rsidRPr="000D3BF1">
        <w:rPr>
          <w:rFonts w:ascii="Arial" w:eastAsia="Times New Roman" w:hAnsi="Arial" w:cs="Arial"/>
          <w:sz w:val="15"/>
          <w:szCs w:val="15"/>
          <w:lang w:eastAsia="es-MX"/>
        </w:rPr>
        <w:tab/>
        <w:t>No se cuenta con activos en moneda extranjera</w:t>
      </w:r>
    </w:p>
    <w:p w14:paraId="7002759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b)</w:t>
      </w:r>
      <w:r w:rsidRPr="000D3BF1">
        <w:rPr>
          <w:rFonts w:ascii="Arial" w:eastAsia="Times New Roman" w:hAnsi="Arial" w:cs="Arial"/>
          <w:sz w:val="15"/>
          <w:szCs w:val="15"/>
          <w:lang w:eastAsia="es-MX"/>
        </w:rPr>
        <w:tab/>
        <w:t>No se cuenta con pasivos en moneda extranjera</w:t>
      </w:r>
    </w:p>
    <w:p w14:paraId="29670192"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No se cuenta con posición en moneda extranjera</w:t>
      </w:r>
    </w:p>
    <w:p w14:paraId="6FB4097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No se opera con Tipo de cambio</w:t>
      </w:r>
    </w:p>
    <w:p w14:paraId="68DCFD3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e)</w:t>
      </w:r>
      <w:r w:rsidRPr="000D3BF1">
        <w:rPr>
          <w:rFonts w:ascii="Arial" w:eastAsia="Times New Roman" w:hAnsi="Arial" w:cs="Arial"/>
          <w:sz w:val="15"/>
          <w:szCs w:val="15"/>
          <w:lang w:eastAsia="es-MX"/>
        </w:rPr>
        <w:tab/>
        <w:t>En consecuencia no existe equivalente en moneda nacional</w:t>
      </w:r>
    </w:p>
    <w:p w14:paraId="00EBFEAE" w14:textId="53CDBC16"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Reporte Analítico del Activo. </w:t>
      </w:r>
    </w:p>
    <w:p w14:paraId="789613CD" w14:textId="77777777" w:rsidR="00536924" w:rsidRPr="000D3BF1" w:rsidRDefault="00536924" w:rsidP="000D3BF1">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Se reporta en el estado financiero correspondiente.</w:t>
      </w:r>
    </w:p>
    <w:p w14:paraId="3082A153" w14:textId="34E9C955"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Fideicomisos, Mandatos y Análogos. </w:t>
      </w:r>
    </w:p>
    <w:p w14:paraId="1E73CA4A" w14:textId="77777777" w:rsidR="00536924" w:rsidRPr="000D3BF1" w:rsidRDefault="00536924" w:rsidP="000D3BF1">
      <w:pPr>
        <w:pStyle w:val="Lista20"/>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t xml:space="preserve">Como se detalla en la nota relativa a inversiones financieras el municipio cuenta con tres fideicomisos para pago de pensiones y jubilaciones, pago de alumbrado público y conservación del medio ambiente. </w:t>
      </w:r>
    </w:p>
    <w:p w14:paraId="53A20BD4" w14:textId="3E5F0EEC" w:rsidR="00FB4B88" w:rsidRPr="000D3BF1" w:rsidRDefault="00B3502E" w:rsidP="00FB4B88">
      <w:pPr>
        <w:spacing w:before="100" w:beforeAutospacing="1" w:after="100" w:afterAutospacing="1" w:line="240" w:lineRule="auto"/>
        <w:jc w:val="both"/>
        <w:rPr>
          <w:rFonts w:ascii="Arial" w:eastAsia="Times New Roman" w:hAnsi="Arial" w:cs="Arial"/>
          <w:b/>
          <w:sz w:val="15"/>
          <w:szCs w:val="15"/>
          <w:lang w:val="es-ES" w:eastAsia="es-MX"/>
        </w:rPr>
      </w:pPr>
      <w:r w:rsidRPr="000D3BF1">
        <w:rPr>
          <w:rFonts w:ascii="Arial" w:eastAsia="Times New Roman" w:hAnsi="Arial" w:cs="Arial"/>
          <w:b/>
          <w:sz w:val="15"/>
          <w:szCs w:val="15"/>
          <w:lang w:val="es-ES" w:eastAsia="es-MX"/>
        </w:rPr>
        <w:t>Reporte de la Recaudación.</w:t>
      </w:r>
    </w:p>
    <w:p w14:paraId="54B87AA5" w14:textId="77777777" w:rsidR="00AA36EB" w:rsidRPr="000D3BF1" w:rsidRDefault="00AA36EB" w:rsidP="00AA36EB">
      <w:pPr>
        <w:spacing w:after="0"/>
        <w:jc w:val="both"/>
        <w:rPr>
          <w:rFonts w:ascii="Arial" w:eastAsia="Times New Roman" w:hAnsi="Arial" w:cs="Arial"/>
          <w:b/>
          <w:color w:val="000000"/>
          <w:sz w:val="15"/>
          <w:szCs w:val="15"/>
          <w:lang w:eastAsia="es-ES"/>
        </w:rPr>
      </w:pPr>
      <w:r w:rsidRPr="000D3BF1">
        <w:rPr>
          <w:rFonts w:ascii="Arial" w:eastAsia="Times New Roman" w:hAnsi="Arial" w:cs="Arial"/>
          <w:b/>
          <w:color w:val="000000"/>
          <w:sz w:val="15"/>
          <w:szCs w:val="15"/>
          <w:lang w:eastAsia="es-ES"/>
        </w:rPr>
        <w:t>a) Análisis del comportamiento de la recaudación correspondiente al ente público o cualquier tipo de ingreso, de forma separada los ingresos locales de los federales.</w:t>
      </w:r>
    </w:p>
    <w:p w14:paraId="4445E196"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47EC0292" w14:textId="47EB71F5" w:rsidR="00AA36EB" w:rsidRPr="00AA36EB" w:rsidRDefault="00AA36EB" w:rsidP="00AA36EB">
      <w:pPr>
        <w:spacing w:after="0" w:line="240" w:lineRule="auto"/>
        <w:jc w:val="both"/>
        <w:rPr>
          <w:rFonts w:ascii="Arial" w:eastAsia="Times New Roman" w:hAnsi="Arial" w:cs="Arial"/>
          <w:color w:val="000000"/>
          <w:sz w:val="15"/>
          <w:szCs w:val="15"/>
          <w:lang w:eastAsia="es-MX"/>
        </w:rPr>
      </w:pPr>
      <w:r w:rsidRPr="00AA36EB">
        <w:rPr>
          <w:rFonts w:ascii="Arial" w:eastAsia="Times New Roman" w:hAnsi="Arial" w:cs="Arial"/>
          <w:color w:val="000000"/>
          <w:sz w:val="15"/>
          <w:szCs w:val="15"/>
          <w:lang w:eastAsia="es-ES"/>
        </w:rPr>
        <w:t xml:space="preserve">Los </w:t>
      </w:r>
      <w:r w:rsidR="00F54421">
        <w:rPr>
          <w:rFonts w:ascii="Arial" w:eastAsia="Times New Roman" w:hAnsi="Arial" w:cs="Arial"/>
          <w:color w:val="000000"/>
          <w:sz w:val="15"/>
          <w:szCs w:val="15"/>
          <w:lang w:eastAsia="es-ES"/>
        </w:rPr>
        <w:t>ingresos recaudados en el ejercicio</w:t>
      </w:r>
      <w:r w:rsidR="000D3BF1">
        <w:rPr>
          <w:rFonts w:ascii="Arial" w:eastAsia="Times New Roman" w:hAnsi="Arial" w:cs="Arial"/>
          <w:color w:val="000000"/>
          <w:sz w:val="15"/>
          <w:szCs w:val="15"/>
          <w:lang w:eastAsia="es-ES"/>
        </w:rPr>
        <w:t xml:space="preserve"> 2021</w:t>
      </w:r>
      <w:r w:rsidR="00F54421">
        <w:rPr>
          <w:rFonts w:ascii="Arial" w:eastAsia="Times New Roman" w:hAnsi="Arial" w:cs="Arial"/>
          <w:color w:val="000000"/>
          <w:sz w:val="15"/>
          <w:szCs w:val="15"/>
          <w:lang w:eastAsia="es-ES"/>
        </w:rPr>
        <w:t xml:space="preserve"> ascienden a </w:t>
      </w:r>
      <w:r w:rsidRPr="00AA36EB">
        <w:rPr>
          <w:rFonts w:ascii="Arial" w:eastAsia="Times New Roman" w:hAnsi="Arial" w:cs="Arial"/>
          <w:color w:val="000000"/>
          <w:sz w:val="15"/>
          <w:szCs w:val="15"/>
          <w:lang w:eastAsia="es-ES"/>
        </w:rPr>
        <w:t>$</w:t>
      </w:r>
      <w:r w:rsidR="009F6C2D" w:rsidRPr="00F54421">
        <w:rPr>
          <w:rFonts w:ascii="Arial" w:eastAsia="Times New Roman" w:hAnsi="Arial" w:cs="Arial"/>
          <w:color w:val="000000"/>
          <w:sz w:val="15"/>
          <w:szCs w:val="15"/>
          <w:lang w:eastAsia="es-ES"/>
        </w:rPr>
        <w:t>1</w:t>
      </w:r>
      <w:r w:rsidR="009F6C2D">
        <w:rPr>
          <w:rFonts w:ascii="Arial" w:eastAsia="Times New Roman" w:hAnsi="Arial" w:cs="Arial"/>
          <w:color w:val="000000"/>
          <w:sz w:val="15"/>
          <w:szCs w:val="15"/>
          <w:lang w:eastAsia="es-ES"/>
        </w:rPr>
        <w:t>,</w:t>
      </w:r>
      <w:r w:rsidR="009F6C2D" w:rsidRPr="00F54421">
        <w:rPr>
          <w:rFonts w:ascii="Arial" w:eastAsia="Times New Roman" w:hAnsi="Arial" w:cs="Arial"/>
          <w:color w:val="000000"/>
          <w:sz w:val="15"/>
          <w:szCs w:val="15"/>
          <w:lang w:eastAsia="es-ES"/>
        </w:rPr>
        <w:t>600</w:t>
      </w:r>
      <w:r w:rsidR="009F6C2D">
        <w:rPr>
          <w:rFonts w:ascii="Arial" w:eastAsia="Times New Roman" w:hAnsi="Arial" w:cs="Arial"/>
          <w:color w:val="000000"/>
          <w:sz w:val="15"/>
          <w:szCs w:val="15"/>
          <w:lang w:eastAsia="es-ES"/>
        </w:rPr>
        <w:t>,</w:t>
      </w:r>
      <w:r w:rsidR="009F6C2D" w:rsidRPr="00F54421">
        <w:rPr>
          <w:rFonts w:ascii="Arial" w:eastAsia="Times New Roman" w:hAnsi="Arial" w:cs="Arial"/>
          <w:color w:val="000000"/>
          <w:sz w:val="15"/>
          <w:szCs w:val="15"/>
          <w:lang w:eastAsia="es-ES"/>
        </w:rPr>
        <w:t>887</w:t>
      </w:r>
      <w:r w:rsidR="009F6C2D">
        <w:rPr>
          <w:rFonts w:ascii="Arial" w:eastAsia="Times New Roman" w:hAnsi="Arial" w:cs="Arial"/>
          <w:color w:val="000000"/>
          <w:sz w:val="15"/>
          <w:szCs w:val="15"/>
          <w:lang w:eastAsia="es-ES"/>
        </w:rPr>
        <w:t>,</w:t>
      </w:r>
      <w:r w:rsidR="009F6C2D" w:rsidRPr="00F54421">
        <w:rPr>
          <w:rFonts w:ascii="Arial" w:eastAsia="Times New Roman" w:hAnsi="Arial" w:cs="Arial"/>
          <w:color w:val="000000"/>
          <w:sz w:val="15"/>
          <w:szCs w:val="15"/>
          <w:lang w:eastAsia="es-ES"/>
        </w:rPr>
        <w:t>563.08</w:t>
      </w:r>
      <w:r w:rsidR="009F6C2D">
        <w:rPr>
          <w:rFonts w:ascii="Arial" w:eastAsia="Times New Roman" w:hAnsi="Arial" w:cs="Arial"/>
          <w:color w:val="000000"/>
          <w:sz w:val="15"/>
          <w:szCs w:val="15"/>
          <w:lang w:eastAsia="es-ES"/>
        </w:rPr>
        <w:t>;</w:t>
      </w:r>
      <w:r w:rsidRPr="00AA36EB">
        <w:rPr>
          <w:rFonts w:ascii="Arial" w:eastAsia="Times New Roman" w:hAnsi="Arial" w:cs="Arial"/>
          <w:color w:val="000000"/>
          <w:sz w:val="15"/>
          <w:szCs w:val="15"/>
          <w:lang w:eastAsia="es-ES"/>
        </w:rPr>
        <w:t xml:space="preserve"> la distribución es la siguiente; ingresos propios, ascienden a $</w:t>
      </w:r>
      <w:r w:rsidR="009F6C2D">
        <w:rPr>
          <w:rFonts w:ascii="Arial" w:eastAsia="Times New Roman" w:hAnsi="Arial" w:cs="Arial"/>
          <w:color w:val="000000"/>
          <w:sz w:val="15"/>
          <w:szCs w:val="15"/>
          <w:lang w:eastAsia="es-ES"/>
        </w:rPr>
        <w:t>1,060,928,906.15;</w:t>
      </w:r>
      <w:r w:rsidRPr="00AA36EB">
        <w:rPr>
          <w:rFonts w:ascii="Arial" w:eastAsia="Times New Roman" w:hAnsi="Arial" w:cs="Arial"/>
          <w:color w:val="000000"/>
          <w:sz w:val="15"/>
          <w:szCs w:val="15"/>
          <w:lang w:eastAsia="es-ES"/>
        </w:rPr>
        <w:t xml:space="preserve"> se destac</w:t>
      </w:r>
      <w:r w:rsidR="00F54421">
        <w:rPr>
          <w:rFonts w:ascii="Arial" w:eastAsia="Times New Roman" w:hAnsi="Arial" w:cs="Arial"/>
          <w:color w:val="000000"/>
          <w:sz w:val="15"/>
          <w:szCs w:val="15"/>
          <w:lang w:eastAsia="es-ES"/>
        </w:rPr>
        <w:t>a la relevancia de los impuestos</w:t>
      </w:r>
      <w:r w:rsidRPr="00AA36EB">
        <w:rPr>
          <w:rFonts w:ascii="Arial" w:eastAsia="Times New Roman" w:hAnsi="Arial" w:cs="Arial"/>
          <w:color w:val="000000"/>
          <w:sz w:val="15"/>
          <w:szCs w:val="15"/>
          <w:lang w:eastAsia="es-ES"/>
        </w:rPr>
        <w:t>, que corresponde a una recaudación de $</w:t>
      </w:r>
      <w:r w:rsidR="009F6C2D" w:rsidRPr="009F6C2D">
        <w:rPr>
          <w:rFonts w:ascii="Arial" w:eastAsia="Times New Roman" w:hAnsi="Arial" w:cs="Arial"/>
          <w:color w:val="000000"/>
          <w:sz w:val="15"/>
          <w:szCs w:val="15"/>
          <w:lang w:eastAsia="es-ES"/>
        </w:rPr>
        <w:t>858,556,693.72</w:t>
      </w:r>
      <w:r w:rsidRPr="00AA36EB">
        <w:rPr>
          <w:rFonts w:ascii="Arial" w:eastAsia="Times New Roman" w:hAnsi="Arial" w:cs="Arial"/>
          <w:color w:val="000000"/>
          <w:sz w:val="15"/>
          <w:szCs w:val="15"/>
          <w:lang w:eastAsia="es-ES"/>
        </w:rPr>
        <w:t xml:space="preserve"> por lo que representan, en el periodo que se reporta, el 76% sobre los ingresos de gestión y un </w:t>
      </w:r>
      <w:r w:rsidR="009F6C2D">
        <w:rPr>
          <w:rFonts w:ascii="Arial" w:eastAsia="Times New Roman" w:hAnsi="Arial" w:cs="Arial"/>
          <w:color w:val="000000"/>
          <w:sz w:val="15"/>
          <w:szCs w:val="15"/>
          <w:lang w:eastAsia="es-ES"/>
        </w:rPr>
        <w:t>54</w:t>
      </w:r>
      <w:r w:rsidRPr="00AA36EB">
        <w:rPr>
          <w:rFonts w:ascii="Arial" w:eastAsia="Times New Roman" w:hAnsi="Arial" w:cs="Arial"/>
          <w:color w:val="000000"/>
          <w:sz w:val="15"/>
          <w:szCs w:val="15"/>
          <w:lang w:eastAsia="es-ES"/>
        </w:rPr>
        <w:t>% sobre los ingresos totales, consolidándose como una de las principales fuentes de ingreso propio el impuesto predial.</w:t>
      </w:r>
    </w:p>
    <w:p w14:paraId="442B7507"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66A94250" w14:textId="160C6936" w:rsidR="00AA36EB" w:rsidRPr="00AA36EB" w:rsidRDefault="009F6C2D" w:rsidP="00AA36EB">
      <w:pPr>
        <w:spacing w:after="0"/>
        <w:jc w:val="both"/>
        <w:rPr>
          <w:rFonts w:ascii="Arial" w:eastAsia="Times New Roman" w:hAnsi="Arial" w:cs="Arial"/>
          <w:color w:val="000000"/>
          <w:sz w:val="15"/>
          <w:szCs w:val="15"/>
          <w:lang w:eastAsia="es-ES"/>
        </w:rPr>
      </w:pPr>
      <w:r>
        <w:rPr>
          <w:rFonts w:ascii="Arial" w:eastAsia="Times New Roman" w:hAnsi="Arial" w:cs="Arial"/>
          <w:color w:val="000000"/>
          <w:sz w:val="15"/>
          <w:szCs w:val="15"/>
          <w:lang w:eastAsia="es-ES"/>
        </w:rPr>
        <w:t>Los derechos</w:t>
      </w:r>
      <w:r w:rsidR="00AA36EB" w:rsidRPr="00AA36EB">
        <w:rPr>
          <w:rFonts w:ascii="Arial" w:eastAsia="Times New Roman" w:hAnsi="Arial" w:cs="Arial"/>
          <w:color w:val="000000"/>
          <w:sz w:val="15"/>
          <w:szCs w:val="15"/>
          <w:lang w:eastAsia="es-ES"/>
        </w:rPr>
        <w:t xml:space="preserve"> asciende</w:t>
      </w:r>
      <w:r>
        <w:rPr>
          <w:rFonts w:ascii="Arial" w:eastAsia="Times New Roman" w:hAnsi="Arial" w:cs="Arial"/>
          <w:color w:val="000000"/>
          <w:sz w:val="15"/>
          <w:szCs w:val="15"/>
          <w:lang w:eastAsia="es-ES"/>
        </w:rPr>
        <w:t>n</w:t>
      </w:r>
      <w:r w:rsidR="00173E09">
        <w:rPr>
          <w:rFonts w:ascii="Arial" w:eastAsia="Times New Roman" w:hAnsi="Arial" w:cs="Arial"/>
          <w:color w:val="000000"/>
          <w:sz w:val="15"/>
          <w:szCs w:val="15"/>
          <w:lang w:eastAsia="es-ES"/>
        </w:rPr>
        <w:t xml:space="preserve"> a $</w:t>
      </w:r>
      <w:r w:rsidRPr="009F6C2D">
        <w:rPr>
          <w:rFonts w:ascii="Arial" w:eastAsia="Times New Roman" w:hAnsi="Arial" w:cs="Arial"/>
          <w:color w:val="000000"/>
          <w:sz w:val="15"/>
          <w:szCs w:val="15"/>
          <w:lang w:eastAsia="es-ES"/>
        </w:rPr>
        <w:t>150,551,484.75</w:t>
      </w:r>
      <w:r>
        <w:rPr>
          <w:rFonts w:ascii="Arial" w:eastAsia="Times New Roman" w:hAnsi="Arial" w:cs="Arial"/>
          <w:color w:val="000000"/>
          <w:sz w:val="15"/>
          <w:szCs w:val="15"/>
          <w:lang w:eastAsia="es-ES"/>
        </w:rPr>
        <w:t xml:space="preserve"> representando un 9</w:t>
      </w:r>
      <w:r w:rsidR="00AA36EB" w:rsidRPr="00AA36EB">
        <w:rPr>
          <w:rFonts w:ascii="Arial" w:eastAsia="Times New Roman" w:hAnsi="Arial" w:cs="Arial"/>
          <w:color w:val="000000"/>
          <w:sz w:val="15"/>
          <w:szCs w:val="15"/>
          <w:lang w:eastAsia="es-ES"/>
        </w:rPr>
        <w:t xml:space="preserve">% </w:t>
      </w:r>
      <w:r w:rsidRPr="00AA36EB">
        <w:rPr>
          <w:rFonts w:ascii="Arial" w:eastAsia="Times New Roman" w:hAnsi="Arial" w:cs="Arial"/>
          <w:color w:val="000000"/>
          <w:sz w:val="15"/>
          <w:szCs w:val="15"/>
          <w:lang w:eastAsia="es-ES"/>
        </w:rPr>
        <w:t>sobre los ingresos totales</w:t>
      </w:r>
      <w:r w:rsidR="00AA36EB" w:rsidRPr="00AA36EB">
        <w:rPr>
          <w:rFonts w:ascii="Arial" w:eastAsia="Times New Roman" w:hAnsi="Arial" w:cs="Arial"/>
          <w:color w:val="000000"/>
          <w:sz w:val="15"/>
          <w:szCs w:val="15"/>
          <w:lang w:eastAsia="es-ES"/>
        </w:rPr>
        <w:t xml:space="preserve"> </w:t>
      </w:r>
      <w:r>
        <w:rPr>
          <w:rFonts w:ascii="Arial" w:eastAsia="Times New Roman" w:hAnsi="Arial" w:cs="Arial"/>
          <w:color w:val="000000"/>
          <w:sz w:val="15"/>
          <w:szCs w:val="15"/>
          <w:lang w:eastAsia="es-ES"/>
        </w:rPr>
        <w:t>recaudados, en</w:t>
      </w:r>
      <w:r w:rsidR="00AA36EB" w:rsidRPr="00AA36EB">
        <w:rPr>
          <w:rFonts w:ascii="Arial" w:eastAsia="Times New Roman" w:hAnsi="Arial" w:cs="Arial"/>
          <w:color w:val="000000"/>
          <w:sz w:val="15"/>
          <w:szCs w:val="15"/>
          <w:lang w:eastAsia="es-ES"/>
        </w:rPr>
        <w:t xml:space="preserve"> cuanto a la generación de</w:t>
      </w:r>
      <w:r>
        <w:rPr>
          <w:rFonts w:ascii="Arial" w:eastAsia="Times New Roman" w:hAnsi="Arial" w:cs="Arial"/>
          <w:color w:val="000000"/>
          <w:sz w:val="15"/>
          <w:szCs w:val="15"/>
          <w:lang w:eastAsia="es-ES"/>
        </w:rPr>
        <w:t xml:space="preserve"> productos y aprovechamientos</w:t>
      </w:r>
      <w:r w:rsidR="00AA36EB" w:rsidRPr="00AA36EB">
        <w:rPr>
          <w:rFonts w:ascii="Arial" w:eastAsia="Times New Roman" w:hAnsi="Arial" w:cs="Arial"/>
          <w:color w:val="000000"/>
          <w:sz w:val="15"/>
          <w:szCs w:val="15"/>
          <w:lang w:eastAsia="es-ES"/>
        </w:rPr>
        <w:t xml:space="preserve">, representan </w:t>
      </w:r>
      <w:r>
        <w:rPr>
          <w:rFonts w:ascii="Arial" w:eastAsia="Times New Roman" w:hAnsi="Arial" w:cs="Arial"/>
          <w:color w:val="000000"/>
          <w:sz w:val="15"/>
          <w:szCs w:val="15"/>
          <w:lang w:eastAsia="es-ES"/>
        </w:rPr>
        <w:t>1% y 2</w:t>
      </w:r>
      <w:r w:rsidR="00AA36EB" w:rsidRPr="00AA36EB">
        <w:rPr>
          <w:rFonts w:ascii="Arial" w:eastAsia="Times New Roman" w:hAnsi="Arial" w:cs="Arial"/>
          <w:color w:val="000000"/>
          <w:sz w:val="15"/>
          <w:szCs w:val="15"/>
          <w:lang w:eastAsia="es-ES"/>
        </w:rPr>
        <w:t xml:space="preserve">% cada uno sobre el total de los ingresos </w:t>
      </w:r>
      <w:r w:rsidR="00804540">
        <w:rPr>
          <w:rFonts w:ascii="Arial" w:eastAsia="Times New Roman" w:hAnsi="Arial" w:cs="Arial"/>
          <w:color w:val="000000"/>
          <w:sz w:val="15"/>
          <w:szCs w:val="15"/>
          <w:lang w:eastAsia="es-ES"/>
        </w:rPr>
        <w:t>recaudados en</w:t>
      </w:r>
      <w:r>
        <w:rPr>
          <w:rFonts w:ascii="Arial" w:eastAsia="Times New Roman" w:hAnsi="Arial" w:cs="Arial"/>
          <w:color w:val="000000"/>
          <w:sz w:val="15"/>
          <w:szCs w:val="15"/>
          <w:lang w:eastAsia="es-ES"/>
        </w:rPr>
        <w:t xml:space="preserve"> el ejercicio fiscal 2021 </w:t>
      </w:r>
    </w:p>
    <w:p w14:paraId="0661EC67" w14:textId="2EA3B3AC" w:rsidR="00AA36EB" w:rsidRPr="00AA36EB" w:rsidRDefault="00AA36EB" w:rsidP="00AA36EB">
      <w:pPr>
        <w:spacing w:after="0"/>
        <w:jc w:val="both"/>
        <w:rPr>
          <w:rFonts w:ascii="Arial" w:eastAsia="Times New Roman" w:hAnsi="Arial" w:cs="Arial"/>
          <w:color w:val="000000"/>
          <w:sz w:val="15"/>
          <w:szCs w:val="15"/>
          <w:lang w:eastAsia="es-ES"/>
        </w:rPr>
      </w:pPr>
      <w:r w:rsidRPr="00AA36EB">
        <w:rPr>
          <w:rFonts w:ascii="Arial" w:eastAsia="Times New Roman" w:hAnsi="Arial" w:cs="Arial"/>
          <w:color w:val="000000"/>
          <w:sz w:val="15"/>
          <w:szCs w:val="15"/>
          <w:lang w:eastAsia="es-ES"/>
        </w:rPr>
        <w:t>          </w:t>
      </w:r>
      <w:r w:rsidRPr="00AA36EB">
        <w:rPr>
          <w:rFonts w:ascii="Arial" w:eastAsia="Times New Roman" w:hAnsi="Arial" w:cs="Arial"/>
          <w:color w:val="000000"/>
          <w:sz w:val="15"/>
          <w:szCs w:val="15"/>
          <w:lang w:eastAsia="es-ES"/>
        </w:rPr>
        <w:br/>
      </w:r>
      <w:r w:rsidR="00804540">
        <w:rPr>
          <w:rFonts w:ascii="Arial" w:eastAsia="Times New Roman" w:hAnsi="Arial" w:cs="Arial"/>
          <w:color w:val="000000"/>
          <w:sz w:val="15"/>
          <w:szCs w:val="15"/>
          <w:lang w:eastAsia="es-ES"/>
        </w:rPr>
        <w:t>Los ingresos federales</w:t>
      </w:r>
      <w:r w:rsidRPr="00AA36EB">
        <w:rPr>
          <w:rFonts w:ascii="Arial" w:eastAsia="Times New Roman" w:hAnsi="Arial" w:cs="Arial"/>
          <w:color w:val="000000"/>
          <w:sz w:val="15"/>
          <w:szCs w:val="15"/>
          <w:lang w:eastAsia="es-ES"/>
        </w:rPr>
        <w:t xml:space="preserve"> la cantidad para el periodo repor</w:t>
      </w:r>
      <w:r w:rsidR="00804540">
        <w:rPr>
          <w:rFonts w:ascii="Arial" w:eastAsia="Times New Roman" w:hAnsi="Arial" w:cs="Arial"/>
          <w:color w:val="000000"/>
          <w:sz w:val="15"/>
          <w:szCs w:val="15"/>
          <w:lang w:eastAsia="es-ES"/>
        </w:rPr>
        <w:t xml:space="preserve">tado ascendieron a $539,958,656.93, </w:t>
      </w:r>
      <w:r w:rsidR="009A575F">
        <w:rPr>
          <w:rFonts w:ascii="Arial" w:eastAsia="Times New Roman" w:hAnsi="Arial" w:cs="Arial"/>
          <w:color w:val="000000"/>
          <w:sz w:val="15"/>
          <w:szCs w:val="15"/>
          <w:lang w:eastAsia="es-ES"/>
        </w:rPr>
        <w:t xml:space="preserve">representando el </w:t>
      </w:r>
      <w:r w:rsidR="00804540">
        <w:rPr>
          <w:rFonts w:ascii="Arial" w:eastAsia="Times New Roman" w:hAnsi="Arial" w:cs="Arial"/>
          <w:color w:val="000000"/>
          <w:sz w:val="15"/>
          <w:szCs w:val="15"/>
          <w:lang w:eastAsia="es-ES"/>
        </w:rPr>
        <w:t xml:space="preserve">34% </w:t>
      </w:r>
      <w:r w:rsidR="009A575F">
        <w:rPr>
          <w:rFonts w:ascii="Arial" w:eastAsia="Times New Roman" w:hAnsi="Arial" w:cs="Arial"/>
          <w:color w:val="000000"/>
          <w:sz w:val="15"/>
          <w:szCs w:val="15"/>
          <w:lang w:eastAsia="es-ES"/>
        </w:rPr>
        <w:t>de los ingresos totales recaudados.</w:t>
      </w:r>
    </w:p>
    <w:p w14:paraId="0E24EA40" w14:textId="77777777" w:rsidR="00D22AB4" w:rsidRPr="00AA36EB" w:rsidRDefault="00D22AB4" w:rsidP="00AA36EB">
      <w:pPr>
        <w:spacing w:after="0"/>
        <w:jc w:val="both"/>
        <w:rPr>
          <w:rFonts w:ascii="Arial" w:eastAsia="Times New Roman" w:hAnsi="Arial" w:cs="Arial"/>
          <w:color w:val="000000"/>
          <w:sz w:val="15"/>
          <w:szCs w:val="15"/>
          <w:lang w:eastAsia="es-ES"/>
        </w:rPr>
      </w:pPr>
    </w:p>
    <w:p w14:paraId="1D668023" w14:textId="1D9B19E5" w:rsidR="00AA36EB" w:rsidRPr="00D22AB4" w:rsidRDefault="00AA36EB" w:rsidP="00AA36EB">
      <w:pPr>
        <w:spacing w:after="0"/>
        <w:jc w:val="both"/>
        <w:rPr>
          <w:rFonts w:ascii="Arial" w:eastAsia="Times New Roman" w:hAnsi="Arial" w:cs="Arial"/>
          <w:b/>
          <w:color w:val="000000"/>
          <w:sz w:val="15"/>
          <w:szCs w:val="15"/>
          <w:lang w:eastAsia="es-ES"/>
        </w:rPr>
      </w:pPr>
      <w:r w:rsidRPr="00D22AB4">
        <w:rPr>
          <w:rFonts w:ascii="Arial" w:eastAsia="Times New Roman" w:hAnsi="Arial" w:cs="Arial"/>
          <w:b/>
          <w:color w:val="000000"/>
          <w:sz w:val="15"/>
          <w:szCs w:val="15"/>
          <w:lang w:eastAsia="es-ES"/>
        </w:rPr>
        <w:t>b) Proyección de la recaudación e ingresos en el mediano plazo.</w:t>
      </w:r>
    </w:p>
    <w:p w14:paraId="004E7D82"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54C3E3B5" w14:textId="6A44C4A5" w:rsidR="009559B0" w:rsidRDefault="00173E09" w:rsidP="00AA36EB">
      <w:pPr>
        <w:spacing w:after="0"/>
        <w:jc w:val="both"/>
        <w:rPr>
          <w:rFonts w:ascii="Arial" w:eastAsia="Times New Roman" w:hAnsi="Arial" w:cs="Arial"/>
          <w:color w:val="000000"/>
          <w:sz w:val="15"/>
          <w:szCs w:val="15"/>
          <w:lang w:eastAsia="es-ES"/>
        </w:rPr>
      </w:pPr>
      <w:r w:rsidRPr="00173E09">
        <w:rPr>
          <w:noProof/>
          <w:lang w:eastAsia="es-MX"/>
        </w:rPr>
        <w:drawing>
          <wp:inline distT="0" distB="0" distL="0" distR="0" wp14:anchorId="0D09A92C" wp14:editId="261D36BB">
            <wp:extent cx="5612130" cy="76523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765230"/>
                    </a:xfrm>
                    <a:prstGeom prst="rect">
                      <a:avLst/>
                    </a:prstGeom>
                    <a:noFill/>
                    <a:ln>
                      <a:noFill/>
                    </a:ln>
                  </pic:spPr>
                </pic:pic>
              </a:graphicData>
            </a:graphic>
          </wp:inline>
        </w:drawing>
      </w:r>
    </w:p>
    <w:p w14:paraId="6B38DB09" w14:textId="5DC44DA9" w:rsidR="00982B3F" w:rsidRDefault="00982B3F" w:rsidP="00AA36EB">
      <w:pPr>
        <w:spacing w:after="0"/>
        <w:jc w:val="both"/>
        <w:rPr>
          <w:rFonts w:ascii="Arial" w:eastAsia="Times New Roman" w:hAnsi="Arial" w:cs="Arial"/>
          <w:color w:val="000000"/>
          <w:sz w:val="15"/>
          <w:szCs w:val="15"/>
          <w:lang w:eastAsia="es-ES"/>
        </w:rPr>
      </w:pPr>
    </w:p>
    <w:p w14:paraId="4EE4282E" w14:textId="75E0AAD9" w:rsidR="00982B3F" w:rsidRDefault="00982B3F" w:rsidP="00AA36EB">
      <w:pPr>
        <w:spacing w:after="0"/>
        <w:jc w:val="both"/>
        <w:rPr>
          <w:rFonts w:ascii="Arial" w:eastAsia="Times New Roman" w:hAnsi="Arial" w:cs="Arial"/>
          <w:b/>
          <w:color w:val="000000"/>
          <w:sz w:val="15"/>
          <w:szCs w:val="15"/>
          <w:lang w:eastAsia="es-ES"/>
        </w:rPr>
      </w:pPr>
      <w:r w:rsidRPr="00982B3F">
        <w:rPr>
          <w:rFonts w:ascii="Arial" w:eastAsia="Times New Roman" w:hAnsi="Arial" w:cs="Arial"/>
          <w:b/>
          <w:color w:val="000000"/>
          <w:sz w:val="15"/>
          <w:szCs w:val="15"/>
          <w:lang w:eastAsia="es-ES"/>
        </w:rPr>
        <w:lastRenderedPageBreak/>
        <w:t>Información Sobre la Deuda y Reporte Analítico de la Deuda</w:t>
      </w:r>
    </w:p>
    <w:p w14:paraId="47072BAF" w14:textId="4F7B7CCF" w:rsidR="00982B3F" w:rsidRDefault="00982B3F" w:rsidP="00AA36EB">
      <w:pPr>
        <w:spacing w:after="0"/>
        <w:jc w:val="both"/>
        <w:rPr>
          <w:rFonts w:ascii="Arial" w:eastAsia="Times New Roman" w:hAnsi="Arial" w:cs="Arial"/>
          <w:b/>
          <w:color w:val="000000"/>
          <w:sz w:val="15"/>
          <w:szCs w:val="15"/>
          <w:lang w:eastAsia="es-ES"/>
        </w:rPr>
      </w:pPr>
    </w:p>
    <w:p w14:paraId="69CBDEE2" w14:textId="678553ED" w:rsidR="00982B3F" w:rsidRPr="00D22AB4" w:rsidRDefault="00982B3F" w:rsidP="00D22AB4">
      <w:pPr>
        <w:spacing w:after="0"/>
        <w:jc w:val="both"/>
        <w:rPr>
          <w:rFonts w:ascii="Arial" w:eastAsia="Times New Roman" w:hAnsi="Arial" w:cs="Arial"/>
          <w:b/>
          <w:color w:val="000000"/>
          <w:sz w:val="15"/>
          <w:szCs w:val="15"/>
          <w:lang w:eastAsia="es-ES"/>
        </w:rPr>
      </w:pPr>
      <w:r>
        <w:rPr>
          <w:rFonts w:ascii="Arial" w:eastAsia="Times New Roman" w:hAnsi="Arial" w:cs="Arial"/>
          <w:color w:val="000000"/>
          <w:sz w:val="15"/>
          <w:szCs w:val="15"/>
          <w:lang w:eastAsia="es-ES"/>
        </w:rPr>
        <w:t>El</w:t>
      </w:r>
      <w:r w:rsidRPr="00982B3F">
        <w:rPr>
          <w:rFonts w:ascii="Arial" w:eastAsia="Times New Roman" w:hAnsi="Arial" w:cs="Arial"/>
          <w:color w:val="000000"/>
          <w:sz w:val="15"/>
          <w:szCs w:val="15"/>
          <w:lang w:eastAsia="es-ES"/>
        </w:rPr>
        <w:t xml:space="preserve"> Municipio de Corregidora, Querétaro, tiene un contrato de apertura de crédito con la Institución Financiera Banco Mercantil del Norte S.A.I.B.M Grupo Financiero BANORTE con</w:t>
      </w:r>
      <w:r>
        <w:rPr>
          <w:rFonts w:ascii="Arial" w:eastAsia="Times New Roman" w:hAnsi="Arial" w:cs="Arial"/>
          <w:color w:val="000000"/>
          <w:sz w:val="15"/>
          <w:szCs w:val="15"/>
          <w:lang w:eastAsia="es-ES"/>
        </w:rPr>
        <w:t xml:space="preserve"> las siguientes características:</w:t>
      </w:r>
    </w:p>
    <w:tbl>
      <w:tblPr>
        <w:tblStyle w:val="Tablaconcuadrcula"/>
        <w:tblpPr w:leftFromText="141" w:rightFromText="141" w:vertAnchor="text" w:horzAnchor="margin" w:tblpY="430"/>
        <w:tblW w:w="0" w:type="auto"/>
        <w:tblLook w:val="04A0" w:firstRow="1" w:lastRow="0" w:firstColumn="1" w:lastColumn="0" w:noHBand="0" w:noVBand="1"/>
      </w:tblPr>
      <w:tblGrid>
        <w:gridCol w:w="1469"/>
        <w:gridCol w:w="2354"/>
      </w:tblGrid>
      <w:tr w:rsidR="00982B3F" w:rsidRPr="00AD0D2C" w14:paraId="39C7E968" w14:textId="77777777" w:rsidTr="00AD0D2C">
        <w:tc>
          <w:tcPr>
            <w:tcW w:w="1469" w:type="dxa"/>
            <w:shd w:val="clear" w:color="auto" w:fill="002060"/>
            <w:vAlign w:val="center"/>
          </w:tcPr>
          <w:p w14:paraId="4D327458"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 xml:space="preserve">Monto </w:t>
            </w:r>
          </w:p>
        </w:tc>
        <w:tc>
          <w:tcPr>
            <w:tcW w:w="2354" w:type="dxa"/>
            <w:vAlign w:val="center"/>
          </w:tcPr>
          <w:p w14:paraId="23A6318E" w14:textId="77777777" w:rsidR="00982B3F" w:rsidRPr="00AD0D2C" w:rsidRDefault="00982B3F" w:rsidP="004966F3">
            <w:pPr>
              <w:pStyle w:val="Encabezado"/>
              <w:spacing w:line="276" w:lineRule="auto"/>
              <w:jc w:val="center"/>
              <w:rPr>
                <w:rFonts w:ascii="Gotham Book" w:hAnsi="Gotham Book"/>
                <w:b/>
                <w:color w:val="000000" w:themeColor="text1"/>
                <w:sz w:val="14"/>
                <w:szCs w:val="24"/>
              </w:rPr>
            </w:pPr>
            <w:r w:rsidRPr="00AD0D2C">
              <w:rPr>
                <w:rFonts w:ascii="Gotham Book" w:hAnsi="Gotham Book"/>
                <w:b/>
                <w:color w:val="000000" w:themeColor="text1"/>
                <w:sz w:val="14"/>
                <w:szCs w:val="24"/>
              </w:rPr>
              <w:t>86 MDP</w:t>
            </w:r>
          </w:p>
        </w:tc>
      </w:tr>
      <w:tr w:rsidR="00982B3F" w:rsidRPr="00AD0D2C" w14:paraId="6C380E24" w14:textId="77777777" w:rsidTr="00AD0D2C">
        <w:trPr>
          <w:trHeight w:val="391"/>
        </w:trPr>
        <w:tc>
          <w:tcPr>
            <w:tcW w:w="1469" w:type="dxa"/>
            <w:shd w:val="clear" w:color="auto" w:fill="002060"/>
            <w:vAlign w:val="center"/>
          </w:tcPr>
          <w:p w14:paraId="455205EF"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 xml:space="preserve">Fecha Suscripción </w:t>
            </w:r>
          </w:p>
        </w:tc>
        <w:tc>
          <w:tcPr>
            <w:tcW w:w="2354" w:type="dxa"/>
            <w:vAlign w:val="center"/>
          </w:tcPr>
          <w:p w14:paraId="76BA82C7" w14:textId="77777777" w:rsidR="00982B3F" w:rsidRPr="00AD0D2C" w:rsidRDefault="00982B3F" w:rsidP="004966F3">
            <w:pPr>
              <w:jc w:val="both"/>
              <w:rPr>
                <w:rFonts w:ascii="Gotham Book" w:hAnsi="Gotham Book"/>
                <w:color w:val="000000" w:themeColor="text1"/>
                <w:sz w:val="14"/>
                <w:szCs w:val="20"/>
              </w:rPr>
            </w:pPr>
            <w:r w:rsidRPr="00AD0D2C">
              <w:rPr>
                <w:rFonts w:ascii="Gotham Book" w:hAnsi="Gotham Book"/>
                <w:b/>
                <w:color w:val="000000" w:themeColor="text1"/>
                <w:sz w:val="14"/>
                <w:szCs w:val="24"/>
              </w:rPr>
              <w:t xml:space="preserve">  05 SEPTIEMBRE 2014</w:t>
            </w:r>
          </w:p>
        </w:tc>
      </w:tr>
      <w:tr w:rsidR="00982B3F" w:rsidRPr="00AD0D2C" w14:paraId="348DE04E" w14:textId="77777777" w:rsidTr="00AD0D2C">
        <w:trPr>
          <w:trHeight w:val="391"/>
        </w:trPr>
        <w:tc>
          <w:tcPr>
            <w:tcW w:w="1469" w:type="dxa"/>
            <w:shd w:val="clear" w:color="auto" w:fill="002060"/>
            <w:vAlign w:val="center"/>
          </w:tcPr>
          <w:p w14:paraId="3D83730A"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Destino</w:t>
            </w:r>
          </w:p>
        </w:tc>
        <w:tc>
          <w:tcPr>
            <w:tcW w:w="2354" w:type="dxa"/>
            <w:vAlign w:val="center"/>
          </w:tcPr>
          <w:p w14:paraId="76E11920" w14:textId="77777777" w:rsidR="00982B3F" w:rsidRPr="00AD0D2C" w:rsidRDefault="00982B3F" w:rsidP="004966F3">
            <w:pPr>
              <w:rPr>
                <w:rFonts w:ascii="Gotham Book" w:hAnsi="Gotham Book"/>
                <w:b/>
                <w:color w:val="000000" w:themeColor="text1"/>
                <w:sz w:val="14"/>
                <w:szCs w:val="24"/>
              </w:rPr>
            </w:pPr>
            <w:r w:rsidRPr="00AD0D2C">
              <w:rPr>
                <w:rFonts w:ascii="Gotham Book" w:hAnsi="Gotham Book"/>
                <w:b/>
                <w:color w:val="000000" w:themeColor="text1"/>
                <w:sz w:val="14"/>
                <w:szCs w:val="24"/>
              </w:rPr>
              <w:t>Inversión Pública Productiva</w:t>
            </w:r>
          </w:p>
        </w:tc>
      </w:tr>
      <w:tr w:rsidR="00982B3F" w:rsidRPr="00AD0D2C" w14:paraId="5C3E0E52" w14:textId="77777777" w:rsidTr="00AD0D2C">
        <w:trPr>
          <w:trHeight w:val="391"/>
        </w:trPr>
        <w:tc>
          <w:tcPr>
            <w:tcW w:w="1469" w:type="dxa"/>
            <w:shd w:val="clear" w:color="auto" w:fill="002060"/>
            <w:vAlign w:val="center"/>
          </w:tcPr>
          <w:p w14:paraId="41E2D798"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Plazo</w:t>
            </w:r>
          </w:p>
        </w:tc>
        <w:tc>
          <w:tcPr>
            <w:tcW w:w="2354" w:type="dxa"/>
            <w:vAlign w:val="center"/>
          </w:tcPr>
          <w:p w14:paraId="3675B218" w14:textId="77777777" w:rsidR="00982B3F" w:rsidRPr="00AD0D2C" w:rsidRDefault="00982B3F" w:rsidP="004966F3">
            <w:pPr>
              <w:jc w:val="both"/>
              <w:rPr>
                <w:rFonts w:ascii="Gotham Book" w:hAnsi="Gotham Book"/>
                <w:b/>
                <w:color w:val="000000" w:themeColor="text1"/>
                <w:sz w:val="14"/>
                <w:szCs w:val="24"/>
              </w:rPr>
            </w:pPr>
            <w:r w:rsidRPr="00AD0D2C">
              <w:rPr>
                <w:rFonts w:ascii="Gotham Book" w:hAnsi="Gotham Book"/>
                <w:b/>
                <w:color w:val="000000" w:themeColor="text1"/>
                <w:sz w:val="14"/>
                <w:szCs w:val="24"/>
              </w:rPr>
              <w:t>144 meses</w:t>
            </w:r>
          </w:p>
        </w:tc>
      </w:tr>
      <w:tr w:rsidR="00982B3F" w:rsidRPr="00AD0D2C" w14:paraId="74ECFBDD" w14:textId="77777777" w:rsidTr="00AD0D2C">
        <w:trPr>
          <w:trHeight w:val="391"/>
        </w:trPr>
        <w:tc>
          <w:tcPr>
            <w:tcW w:w="1469" w:type="dxa"/>
            <w:shd w:val="clear" w:color="auto" w:fill="002060"/>
            <w:vAlign w:val="center"/>
          </w:tcPr>
          <w:p w14:paraId="53B84431"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Fecha Vencimiento</w:t>
            </w:r>
          </w:p>
        </w:tc>
        <w:tc>
          <w:tcPr>
            <w:tcW w:w="2354" w:type="dxa"/>
            <w:vAlign w:val="center"/>
          </w:tcPr>
          <w:p w14:paraId="5F1CF4EC" w14:textId="77777777" w:rsidR="00982B3F" w:rsidRPr="00AD0D2C" w:rsidRDefault="00982B3F" w:rsidP="004966F3">
            <w:pPr>
              <w:jc w:val="both"/>
              <w:rPr>
                <w:rFonts w:ascii="Gotham Book" w:hAnsi="Gotham Book"/>
                <w:b/>
                <w:color w:val="000000" w:themeColor="text1"/>
                <w:sz w:val="14"/>
                <w:szCs w:val="24"/>
              </w:rPr>
            </w:pPr>
            <w:r w:rsidRPr="00AD0D2C">
              <w:rPr>
                <w:rFonts w:ascii="Gotham Book" w:hAnsi="Gotham Book"/>
                <w:b/>
                <w:color w:val="000000" w:themeColor="text1"/>
                <w:sz w:val="14"/>
                <w:szCs w:val="24"/>
              </w:rPr>
              <w:t>04 SEPTIEMBRE 2026</w:t>
            </w:r>
          </w:p>
        </w:tc>
      </w:tr>
      <w:tr w:rsidR="00982B3F" w:rsidRPr="00AD0D2C" w14:paraId="15FF44BD" w14:textId="77777777" w:rsidTr="00AD0D2C">
        <w:trPr>
          <w:trHeight w:val="391"/>
        </w:trPr>
        <w:tc>
          <w:tcPr>
            <w:tcW w:w="1469" w:type="dxa"/>
            <w:shd w:val="clear" w:color="auto" w:fill="002060"/>
            <w:vAlign w:val="center"/>
          </w:tcPr>
          <w:p w14:paraId="42875056" w14:textId="77777777" w:rsidR="00982B3F" w:rsidRPr="00AD0D2C" w:rsidRDefault="00982B3F" w:rsidP="004966F3">
            <w:pPr>
              <w:jc w:val="center"/>
              <w:rPr>
                <w:rFonts w:ascii="Gotham Book" w:hAnsi="Gotham Book"/>
                <w:color w:val="FFFFFF" w:themeColor="background1"/>
                <w:sz w:val="14"/>
                <w:szCs w:val="20"/>
              </w:rPr>
            </w:pPr>
            <w:r w:rsidRPr="00AD0D2C">
              <w:rPr>
                <w:rFonts w:ascii="Gotham Book" w:hAnsi="Gotham Book"/>
                <w:color w:val="FFFFFF" w:themeColor="background1"/>
                <w:sz w:val="14"/>
                <w:szCs w:val="20"/>
              </w:rPr>
              <w:t>Tasa de Interés</w:t>
            </w:r>
          </w:p>
        </w:tc>
        <w:tc>
          <w:tcPr>
            <w:tcW w:w="2354" w:type="dxa"/>
            <w:vAlign w:val="center"/>
          </w:tcPr>
          <w:p w14:paraId="5C21C13E" w14:textId="77777777" w:rsidR="00982B3F" w:rsidRPr="00AD0D2C" w:rsidRDefault="00982B3F" w:rsidP="004966F3">
            <w:pPr>
              <w:jc w:val="both"/>
              <w:rPr>
                <w:rFonts w:ascii="Gotham Book" w:hAnsi="Gotham Book"/>
                <w:b/>
                <w:color w:val="000000" w:themeColor="text1"/>
                <w:sz w:val="14"/>
                <w:szCs w:val="24"/>
              </w:rPr>
            </w:pPr>
            <w:r w:rsidRPr="00AD0D2C">
              <w:rPr>
                <w:rFonts w:ascii="Gotham Book" w:hAnsi="Gotham Book"/>
                <w:b/>
                <w:color w:val="000000" w:themeColor="text1"/>
                <w:sz w:val="14"/>
                <w:szCs w:val="24"/>
              </w:rPr>
              <w:t>TIIE 28 DÍAS + 1.00</w:t>
            </w:r>
          </w:p>
        </w:tc>
      </w:tr>
    </w:tbl>
    <w:p w14:paraId="0570B1F9" w14:textId="77777777" w:rsidR="00982B3F" w:rsidRPr="00C417D3" w:rsidRDefault="00982B3F" w:rsidP="00982B3F"/>
    <w:p w14:paraId="4F685AD3" w14:textId="77777777" w:rsidR="00982B3F" w:rsidRPr="00C417D3" w:rsidRDefault="00982B3F" w:rsidP="00982B3F"/>
    <w:p w14:paraId="7171216C" w14:textId="77777777" w:rsidR="00982B3F" w:rsidRPr="00C417D3" w:rsidRDefault="00982B3F" w:rsidP="00982B3F"/>
    <w:p w14:paraId="1C1C2519" w14:textId="77777777" w:rsidR="00982B3F" w:rsidRDefault="00982B3F" w:rsidP="00982B3F"/>
    <w:p w14:paraId="1AC002A3" w14:textId="35FD900C" w:rsidR="00982B3F" w:rsidRDefault="00982B3F" w:rsidP="00982B3F">
      <w:pPr>
        <w:rPr>
          <w:rFonts w:ascii="Arial" w:eastAsia="Times New Roman" w:hAnsi="Arial" w:cs="Arial"/>
          <w:color w:val="000000"/>
          <w:sz w:val="15"/>
          <w:szCs w:val="15"/>
          <w:lang w:eastAsia="es-ES"/>
        </w:rPr>
      </w:pPr>
    </w:p>
    <w:p w14:paraId="5B8BE497" w14:textId="77777777" w:rsidR="00AD0D2C" w:rsidRDefault="00AD0D2C" w:rsidP="00982B3F">
      <w:pPr>
        <w:rPr>
          <w:rFonts w:ascii="Arial" w:eastAsia="Times New Roman" w:hAnsi="Arial" w:cs="Arial"/>
          <w:color w:val="000000"/>
          <w:sz w:val="15"/>
          <w:szCs w:val="15"/>
          <w:lang w:eastAsia="es-ES"/>
        </w:rPr>
      </w:pPr>
    </w:p>
    <w:p w14:paraId="19CD1F18" w14:textId="77777777" w:rsidR="000B2A1D" w:rsidRDefault="000B2A1D" w:rsidP="00982B3F">
      <w:pPr>
        <w:rPr>
          <w:rFonts w:ascii="Arial" w:eastAsia="Times New Roman" w:hAnsi="Arial" w:cs="Arial"/>
          <w:color w:val="000000"/>
          <w:sz w:val="15"/>
          <w:szCs w:val="15"/>
          <w:lang w:eastAsia="es-ES"/>
        </w:rPr>
      </w:pPr>
    </w:p>
    <w:p w14:paraId="55607765" w14:textId="18373A88" w:rsidR="00982B3F" w:rsidRPr="00982B3F" w:rsidRDefault="00982B3F" w:rsidP="00982B3F">
      <w:pPr>
        <w:rPr>
          <w:rFonts w:ascii="Arial" w:eastAsia="Times New Roman" w:hAnsi="Arial" w:cs="Arial"/>
          <w:color w:val="000000"/>
          <w:sz w:val="15"/>
          <w:szCs w:val="15"/>
          <w:lang w:eastAsia="es-ES"/>
        </w:rPr>
      </w:pPr>
      <w:r w:rsidRPr="00982B3F">
        <w:rPr>
          <w:rFonts w:ascii="Arial" w:eastAsia="Times New Roman" w:hAnsi="Arial" w:cs="Arial"/>
          <w:color w:val="000000"/>
          <w:sz w:val="15"/>
          <w:szCs w:val="15"/>
          <w:lang w:eastAsia="es-ES"/>
        </w:rPr>
        <w:t>Se muestra un comparativo anual de la representación del importe pagado por concepto de capital, respecto de los ingresos recaudados del Municipio de Corregidora, Querétaro.</w:t>
      </w:r>
    </w:p>
    <w:tbl>
      <w:tblPr>
        <w:tblW w:w="7840" w:type="dxa"/>
        <w:tblCellMar>
          <w:left w:w="70" w:type="dxa"/>
          <w:right w:w="70" w:type="dxa"/>
        </w:tblCellMar>
        <w:tblLook w:val="04A0" w:firstRow="1" w:lastRow="0" w:firstColumn="1" w:lastColumn="0" w:noHBand="0" w:noVBand="1"/>
      </w:tblPr>
      <w:tblGrid>
        <w:gridCol w:w="3340"/>
        <w:gridCol w:w="2240"/>
        <w:gridCol w:w="2260"/>
      </w:tblGrid>
      <w:tr w:rsidR="00982B3F" w:rsidRPr="00AD0D2C" w14:paraId="4F58D2B2" w14:textId="77777777" w:rsidTr="00AD0D2C">
        <w:trPr>
          <w:trHeight w:val="287"/>
        </w:trPr>
        <w:tc>
          <w:tcPr>
            <w:tcW w:w="33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0D14FCE" w14:textId="77777777" w:rsidR="00982B3F" w:rsidRPr="00AD0D2C" w:rsidRDefault="00982B3F" w:rsidP="004966F3">
            <w:pPr>
              <w:spacing w:after="0" w:line="240" w:lineRule="auto"/>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Año</w:t>
            </w:r>
          </w:p>
        </w:tc>
        <w:tc>
          <w:tcPr>
            <w:tcW w:w="2240" w:type="dxa"/>
            <w:tcBorders>
              <w:top w:val="single" w:sz="4" w:space="0" w:color="auto"/>
              <w:left w:val="nil"/>
              <w:bottom w:val="single" w:sz="4" w:space="0" w:color="auto"/>
              <w:right w:val="single" w:sz="4" w:space="0" w:color="auto"/>
            </w:tcBorders>
            <w:shd w:val="clear" w:color="000000" w:fill="002060"/>
            <w:noWrap/>
            <w:vAlign w:val="bottom"/>
            <w:hideMark/>
          </w:tcPr>
          <w:p w14:paraId="28EF842E" w14:textId="77777777" w:rsidR="00982B3F" w:rsidRPr="00AD0D2C" w:rsidRDefault="00982B3F" w:rsidP="004966F3">
            <w:pPr>
              <w:spacing w:after="0" w:line="240" w:lineRule="auto"/>
              <w:jc w:val="right"/>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2020</w:t>
            </w:r>
          </w:p>
        </w:tc>
        <w:tc>
          <w:tcPr>
            <w:tcW w:w="2260" w:type="dxa"/>
            <w:tcBorders>
              <w:top w:val="single" w:sz="4" w:space="0" w:color="auto"/>
              <w:left w:val="nil"/>
              <w:bottom w:val="single" w:sz="4" w:space="0" w:color="auto"/>
              <w:right w:val="single" w:sz="4" w:space="0" w:color="auto"/>
            </w:tcBorders>
            <w:shd w:val="clear" w:color="000000" w:fill="002060"/>
            <w:noWrap/>
            <w:vAlign w:val="bottom"/>
            <w:hideMark/>
          </w:tcPr>
          <w:p w14:paraId="07AE9362" w14:textId="77777777" w:rsidR="00982B3F" w:rsidRPr="00AD0D2C" w:rsidRDefault="00982B3F" w:rsidP="004966F3">
            <w:pPr>
              <w:spacing w:after="0" w:line="240" w:lineRule="auto"/>
              <w:jc w:val="right"/>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2021</w:t>
            </w:r>
          </w:p>
        </w:tc>
      </w:tr>
      <w:tr w:rsidR="00982B3F" w:rsidRPr="00AD0D2C" w14:paraId="47E01476" w14:textId="77777777" w:rsidTr="004966F3">
        <w:trPr>
          <w:trHeight w:val="300"/>
        </w:trPr>
        <w:tc>
          <w:tcPr>
            <w:tcW w:w="3340" w:type="dxa"/>
            <w:tcBorders>
              <w:top w:val="nil"/>
              <w:left w:val="single" w:sz="4" w:space="0" w:color="auto"/>
              <w:bottom w:val="single" w:sz="4" w:space="0" w:color="auto"/>
              <w:right w:val="single" w:sz="4" w:space="0" w:color="auto"/>
            </w:tcBorders>
            <w:shd w:val="clear" w:color="000000" w:fill="002060"/>
            <w:noWrap/>
            <w:vAlign w:val="bottom"/>
            <w:hideMark/>
          </w:tcPr>
          <w:p w14:paraId="1D97C411" w14:textId="77777777" w:rsidR="00982B3F" w:rsidRPr="00AD0D2C" w:rsidRDefault="00982B3F" w:rsidP="004966F3">
            <w:pPr>
              <w:spacing w:after="0" w:line="240" w:lineRule="auto"/>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 xml:space="preserve">Ingresos Totales </w:t>
            </w:r>
          </w:p>
        </w:tc>
        <w:tc>
          <w:tcPr>
            <w:tcW w:w="2240" w:type="dxa"/>
            <w:tcBorders>
              <w:top w:val="nil"/>
              <w:left w:val="nil"/>
              <w:bottom w:val="single" w:sz="4" w:space="0" w:color="auto"/>
              <w:right w:val="single" w:sz="4" w:space="0" w:color="auto"/>
            </w:tcBorders>
            <w:shd w:val="clear" w:color="000000" w:fill="FFFFFF"/>
            <w:noWrap/>
            <w:vAlign w:val="bottom"/>
            <w:hideMark/>
          </w:tcPr>
          <w:p w14:paraId="62498C00" w14:textId="77777777" w:rsidR="00982B3F" w:rsidRPr="00AD0D2C" w:rsidRDefault="00982B3F" w:rsidP="004966F3">
            <w:pPr>
              <w:spacing w:after="0" w:line="240" w:lineRule="auto"/>
              <w:jc w:val="right"/>
              <w:rPr>
                <w:rFonts w:ascii="Gotham Book" w:eastAsia="Times New Roman" w:hAnsi="Gotham Book" w:cs="Times New Roman"/>
                <w:color w:val="000000"/>
                <w:sz w:val="14"/>
                <w:szCs w:val="20"/>
                <w:lang w:eastAsia="es-MX"/>
              </w:rPr>
            </w:pPr>
            <w:r w:rsidRPr="00AD0D2C">
              <w:rPr>
                <w:rFonts w:ascii="Gotham Book" w:eastAsia="Times New Roman" w:hAnsi="Gotham Book" w:cs="Times New Roman"/>
                <w:color w:val="000000"/>
                <w:sz w:val="14"/>
                <w:szCs w:val="20"/>
                <w:lang w:eastAsia="es-MX"/>
              </w:rPr>
              <w:t>$1,549,020,053.57</w:t>
            </w:r>
          </w:p>
        </w:tc>
        <w:tc>
          <w:tcPr>
            <w:tcW w:w="2260" w:type="dxa"/>
            <w:tcBorders>
              <w:top w:val="nil"/>
              <w:left w:val="nil"/>
              <w:bottom w:val="single" w:sz="4" w:space="0" w:color="auto"/>
              <w:right w:val="single" w:sz="4" w:space="0" w:color="auto"/>
            </w:tcBorders>
            <w:shd w:val="clear" w:color="000000" w:fill="FFFFFF"/>
            <w:noWrap/>
            <w:vAlign w:val="bottom"/>
            <w:hideMark/>
          </w:tcPr>
          <w:p w14:paraId="3A8CD54F" w14:textId="77777777" w:rsidR="00982B3F" w:rsidRPr="00AD0D2C" w:rsidRDefault="00982B3F" w:rsidP="004966F3">
            <w:pPr>
              <w:spacing w:after="0" w:line="240" w:lineRule="auto"/>
              <w:jc w:val="right"/>
              <w:rPr>
                <w:rFonts w:ascii="Gotham Book" w:eastAsia="Times New Roman" w:hAnsi="Gotham Book" w:cs="Times New Roman"/>
                <w:color w:val="000000"/>
                <w:sz w:val="14"/>
                <w:szCs w:val="20"/>
                <w:lang w:eastAsia="es-MX"/>
              </w:rPr>
            </w:pPr>
            <w:r w:rsidRPr="00AD0D2C">
              <w:rPr>
                <w:rFonts w:ascii="Gotham Book" w:eastAsia="Times New Roman" w:hAnsi="Gotham Book" w:cs="Times New Roman"/>
                <w:color w:val="000000"/>
                <w:sz w:val="14"/>
                <w:szCs w:val="20"/>
                <w:lang w:eastAsia="es-MX"/>
              </w:rPr>
              <w:t>$1,600,887,563.10</w:t>
            </w:r>
          </w:p>
        </w:tc>
      </w:tr>
      <w:tr w:rsidR="00982B3F" w:rsidRPr="00AD0D2C" w14:paraId="5E11F5C0" w14:textId="77777777" w:rsidTr="00AD0D2C">
        <w:trPr>
          <w:trHeight w:val="98"/>
        </w:trPr>
        <w:tc>
          <w:tcPr>
            <w:tcW w:w="3340" w:type="dxa"/>
            <w:tcBorders>
              <w:top w:val="nil"/>
              <w:left w:val="single" w:sz="4" w:space="0" w:color="auto"/>
              <w:bottom w:val="single" w:sz="4" w:space="0" w:color="auto"/>
              <w:right w:val="single" w:sz="4" w:space="0" w:color="auto"/>
            </w:tcBorders>
            <w:shd w:val="clear" w:color="000000" w:fill="002060"/>
            <w:noWrap/>
            <w:vAlign w:val="bottom"/>
            <w:hideMark/>
          </w:tcPr>
          <w:p w14:paraId="7A7DC7C2" w14:textId="77777777" w:rsidR="00982B3F" w:rsidRPr="00AD0D2C" w:rsidRDefault="00982B3F" w:rsidP="004966F3">
            <w:pPr>
              <w:spacing w:after="0" w:line="240" w:lineRule="auto"/>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Importe pagado de la Deuda</w:t>
            </w:r>
          </w:p>
        </w:tc>
        <w:tc>
          <w:tcPr>
            <w:tcW w:w="2240" w:type="dxa"/>
            <w:tcBorders>
              <w:top w:val="nil"/>
              <w:left w:val="nil"/>
              <w:bottom w:val="single" w:sz="4" w:space="0" w:color="auto"/>
              <w:right w:val="single" w:sz="4" w:space="0" w:color="auto"/>
            </w:tcBorders>
            <w:shd w:val="clear" w:color="000000" w:fill="FFFFFF"/>
            <w:noWrap/>
            <w:vAlign w:val="bottom"/>
            <w:hideMark/>
          </w:tcPr>
          <w:p w14:paraId="466555F6" w14:textId="3559BF12" w:rsidR="00982B3F" w:rsidRPr="00AD0D2C" w:rsidRDefault="00982B3F" w:rsidP="004966F3">
            <w:pPr>
              <w:spacing w:after="0" w:line="240" w:lineRule="auto"/>
              <w:jc w:val="right"/>
              <w:rPr>
                <w:rFonts w:ascii="Gotham Book" w:eastAsia="Times New Roman" w:hAnsi="Gotham Book" w:cs="Times New Roman"/>
                <w:color w:val="000000"/>
                <w:sz w:val="14"/>
                <w:szCs w:val="20"/>
                <w:lang w:eastAsia="es-MX"/>
              </w:rPr>
            </w:pPr>
            <w:r w:rsidRPr="00AD0D2C">
              <w:rPr>
                <w:rFonts w:ascii="Gotham Book" w:eastAsia="Times New Roman" w:hAnsi="Gotham Book" w:cs="Times New Roman"/>
                <w:color w:val="000000"/>
                <w:sz w:val="14"/>
                <w:szCs w:val="20"/>
                <w:lang w:eastAsia="es-MX"/>
              </w:rPr>
              <w:t>$</w:t>
            </w:r>
            <w:r w:rsidR="00AD0D2C">
              <w:rPr>
                <w:rFonts w:ascii="Gotham Book" w:eastAsia="Times New Roman" w:hAnsi="Gotham Book" w:cs="Times New Roman"/>
                <w:color w:val="000000"/>
                <w:sz w:val="14"/>
                <w:szCs w:val="20"/>
                <w:lang w:eastAsia="es-MX"/>
              </w:rPr>
              <w:t>44,303,040</w:t>
            </w:r>
          </w:p>
        </w:tc>
        <w:tc>
          <w:tcPr>
            <w:tcW w:w="2260" w:type="dxa"/>
            <w:tcBorders>
              <w:top w:val="nil"/>
              <w:left w:val="nil"/>
              <w:bottom w:val="single" w:sz="4" w:space="0" w:color="auto"/>
              <w:right w:val="single" w:sz="4" w:space="0" w:color="auto"/>
            </w:tcBorders>
            <w:shd w:val="clear" w:color="000000" w:fill="FFFFFF"/>
            <w:noWrap/>
            <w:vAlign w:val="bottom"/>
            <w:hideMark/>
          </w:tcPr>
          <w:p w14:paraId="389F9B34" w14:textId="355F09D2" w:rsidR="00982B3F" w:rsidRPr="00AD0D2C" w:rsidRDefault="00AD0D2C" w:rsidP="004966F3">
            <w:pPr>
              <w:spacing w:after="0" w:line="240" w:lineRule="auto"/>
              <w:jc w:val="right"/>
              <w:rPr>
                <w:rFonts w:ascii="Gotham Book" w:eastAsia="Times New Roman" w:hAnsi="Gotham Book" w:cs="Times New Roman"/>
                <w:color w:val="000000"/>
                <w:sz w:val="14"/>
                <w:szCs w:val="20"/>
                <w:lang w:eastAsia="es-MX"/>
              </w:rPr>
            </w:pPr>
            <w:r w:rsidRPr="00AD0D2C">
              <w:rPr>
                <w:rFonts w:ascii="Gotham Book" w:eastAsia="Times New Roman" w:hAnsi="Gotham Book" w:cs="Times New Roman"/>
                <w:bCs/>
                <w:color w:val="000000"/>
                <w:sz w:val="14"/>
                <w:szCs w:val="20"/>
                <w:lang w:eastAsia="es-MX"/>
              </w:rPr>
              <w:t>$36,316,841.58</w:t>
            </w:r>
          </w:p>
        </w:tc>
      </w:tr>
      <w:tr w:rsidR="00982B3F" w:rsidRPr="00AD0D2C" w14:paraId="35E33E54" w14:textId="77777777" w:rsidTr="00AD0D2C">
        <w:trPr>
          <w:trHeight w:val="199"/>
        </w:trPr>
        <w:tc>
          <w:tcPr>
            <w:tcW w:w="3340" w:type="dxa"/>
            <w:tcBorders>
              <w:top w:val="nil"/>
              <w:left w:val="single" w:sz="4" w:space="0" w:color="auto"/>
              <w:bottom w:val="single" w:sz="4" w:space="0" w:color="auto"/>
              <w:right w:val="single" w:sz="4" w:space="0" w:color="auto"/>
            </w:tcBorders>
            <w:shd w:val="clear" w:color="000000" w:fill="002060"/>
            <w:vAlign w:val="bottom"/>
            <w:hideMark/>
          </w:tcPr>
          <w:p w14:paraId="720DBB1C" w14:textId="1EAA86C2" w:rsidR="00982B3F" w:rsidRPr="00AD0D2C" w:rsidRDefault="00AD0D2C" w:rsidP="00AD0D2C">
            <w:pPr>
              <w:spacing w:after="0" w:line="240" w:lineRule="auto"/>
              <w:rPr>
                <w:rFonts w:ascii="Gotham Book" w:eastAsia="Times New Roman" w:hAnsi="Gotham Book" w:cs="Times New Roman"/>
                <w:color w:val="FFFFFF"/>
                <w:sz w:val="14"/>
                <w:szCs w:val="20"/>
                <w:lang w:eastAsia="es-MX"/>
              </w:rPr>
            </w:pPr>
            <w:r>
              <w:rPr>
                <w:rFonts w:ascii="Gotham Book" w:eastAsia="Times New Roman" w:hAnsi="Gotham Book" w:cs="Times New Roman"/>
                <w:color w:val="FFFFFF"/>
                <w:sz w:val="14"/>
                <w:szCs w:val="20"/>
                <w:lang w:eastAsia="es-MX"/>
              </w:rPr>
              <w:t>Porcentaje de la Deuda/</w:t>
            </w:r>
            <w:r w:rsidR="00982B3F" w:rsidRPr="00AD0D2C">
              <w:rPr>
                <w:rFonts w:ascii="Gotham Book" w:eastAsia="Times New Roman" w:hAnsi="Gotham Book" w:cs="Times New Roman"/>
                <w:color w:val="FFFFFF"/>
                <w:sz w:val="14"/>
                <w:szCs w:val="20"/>
                <w:lang w:eastAsia="es-MX"/>
              </w:rPr>
              <w:t>ingresos</w:t>
            </w:r>
            <w:r>
              <w:rPr>
                <w:rFonts w:ascii="Gotham Book" w:eastAsia="Times New Roman" w:hAnsi="Gotham Book" w:cs="Times New Roman"/>
                <w:color w:val="FFFFFF"/>
                <w:sz w:val="14"/>
                <w:szCs w:val="20"/>
                <w:lang w:eastAsia="es-MX"/>
              </w:rPr>
              <w:t xml:space="preserve"> totales</w:t>
            </w:r>
          </w:p>
        </w:tc>
        <w:tc>
          <w:tcPr>
            <w:tcW w:w="2240" w:type="dxa"/>
            <w:tcBorders>
              <w:top w:val="nil"/>
              <w:left w:val="nil"/>
              <w:bottom w:val="single" w:sz="4" w:space="0" w:color="auto"/>
              <w:right w:val="single" w:sz="4" w:space="0" w:color="auto"/>
            </w:tcBorders>
            <w:shd w:val="clear" w:color="000000" w:fill="FFFFFF"/>
            <w:noWrap/>
            <w:vAlign w:val="bottom"/>
            <w:hideMark/>
          </w:tcPr>
          <w:p w14:paraId="13D024C0" w14:textId="72D677CA" w:rsidR="00982B3F" w:rsidRPr="00AD0D2C" w:rsidRDefault="000B2A1D" w:rsidP="000B2A1D">
            <w:pPr>
              <w:spacing w:after="0" w:line="240" w:lineRule="auto"/>
              <w:jc w:val="right"/>
              <w:rPr>
                <w:rFonts w:ascii="Gotham Book" w:eastAsia="Times New Roman" w:hAnsi="Gotham Book" w:cs="Times New Roman"/>
                <w:color w:val="000000"/>
                <w:sz w:val="14"/>
                <w:szCs w:val="20"/>
                <w:lang w:eastAsia="es-MX"/>
              </w:rPr>
            </w:pPr>
            <w:r>
              <w:rPr>
                <w:rFonts w:ascii="Gotham Book" w:eastAsia="Times New Roman" w:hAnsi="Gotham Book" w:cs="Times New Roman"/>
                <w:color w:val="000000"/>
                <w:sz w:val="14"/>
                <w:szCs w:val="20"/>
                <w:lang w:eastAsia="es-MX"/>
              </w:rPr>
              <w:t>2</w:t>
            </w:r>
            <w:r w:rsidR="00982B3F" w:rsidRPr="00AD0D2C">
              <w:rPr>
                <w:rFonts w:ascii="Gotham Book" w:eastAsia="Times New Roman" w:hAnsi="Gotham Book" w:cs="Times New Roman"/>
                <w:color w:val="000000"/>
                <w:sz w:val="14"/>
                <w:szCs w:val="20"/>
                <w:lang w:eastAsia="es-MX"/>
              </w:rPr>
              <w:t>.</w:t>
            </w:r>
            <w:r>
              <w:rPr>
                <w:rFonts w:ascii="Gotham Book" w:eastAsia="Times New Roman" w:hAnsi="Gotham Book" w:cs="Times New Roman"/>
                <w:color w:val="000000"/>
                <w:sz w:val="14"/>
                <w:szCs w:val="20"/>
                <w:lang w:eastAsia="es-MX"/>
              </w:rPr>
              <w:t>86</w:t>
            </w:r>
            <w:r w:rsidR="00982B3F" w:rsidRPr="00AD0D2C">
              <w:rPr>
                <w:rFonts w:ascii="Gotham Book" w:eastAsia="Times New Roman" w:hAnsi="Gotham Book" w:cs="Times New Roman"/>
                <w:color w:val="000000"/>
                <w:sz w:val="14"/>
                <w:szCs w:val="20"/>
                <w:lang w:eastAsia="es-MX"/>
              </w:rPr>
              <w:t>%</w:t>
            </w:r>
          </w:p>
        </w:tc>
        <w:tc>
          <w:tcPr>
            <w:tcW w:w="2260" w:type="dxa"/>
            <w:tcBorders>
              <w:top w:val="nil"/>
              <w:left w:val="nil"/>
              <w:bottom w:val="single" w:sz="4" w:space="0" w:color="auto"/>
              <w:right w:val="single" w:sz="4" w:space="0" w:color="auto"/>
            </w:tcBorders>
            <w:shd w:val="clear" w:color="000000" w:fill="FFFFFF"/>
            <w:noWrap/>
            <w:vAlign w:val="bottom"/>
            <w:hideMark/>
          </w:tcPr>
          <w:p w14:paraId="331E8BBA" w14:textId="04D5C1CF" w:rsidR="00982B3F" w:rsidRPr="00AD0D2C" w:rsidRDefault="000B2A1D" w:rsidP="004966F3">
            <w:pPr>
              <w:spacing w:after="0" w:line="240" w:lineRule="auto"/>
              <w:jc w:val="right"/>
              <w:rPr>
                <w:rFonts w:ascii="Gotham Book" w:eastAsia="Times New Roman" w:hAnsi="Gotham Book" w:cs="Times New Roman"/>
                <w:color w:val="000000"/>
                <w:sz w:val="14"/>
                <w:szCs w:val="20"/>
                <w:lang w:eastAsia="es-MX"/>
              </w:rPr>
            </w:pPr>
            <w:r>
              <w:rPr>
                <w:rFonts w:ascii="Gotham Book" w:eastAsia="Times New Roman" w:hAnsi="Gotham Book" w:cs="Times New Roman"/>
                <w:color w:val="000000"/>
                <w:sz w:val="14"/>
                <w:szCs w:val="20"/>
                <w:lang w:eastAsia="es-MX"/>
              </w:rPr>
              <w:t>2.27</w:t>
            </w:r>
            <w:r w:rsidR="00982B3F" w:rsidRPr="00AD0D2C">
              <w:rPr>
                <w:rFonts w:ascii="Gotham Book" w:eastAsia="Times New Roman" w:hAnsi="Gotham Book" w:cs="Times New Roman"/>
                <w:color w:val="000000"/>
                <w:sz w:val="14"/>
                <w:szCs w:val="20"/>
                <w:lang w:eastAsia="es-MX"/>
              </w:rPr>
              <w:t>%</w:t>
            </w:r>
          </w:p>
        </w:tc>
      </w:tr>
    </w:tbl>
    <w:p w14:paraId="2351852D" w14:textId="77777777" w:rsidR="00D22AB4" w:rsidRDefault="00D22AB4" w:rsidP="00D22AB4">
      <w:pPr>
        <w:spacing w:line="240" w:lineRule="auto"/>
        <w:rPr>
          <w:rFonts w:ascii="Arial" w:eastAsia="Times New Roman" w:hAnsi="Arial" w:cs="Arial"/>
          <w:color w:val="000000"/>
          <w:sz w:val="15"/>
          <w:szCs w:val="15"/>
          <w:lang w:eastAsia="es-ES"/>
        </w:rPr>
      </w:pPr>
    </w:p>
    <w:p w14:paraId="10F309AE" w14:textId="4F19940D" w:rsidR="00982B3F" w:rsidRPr="00982B3F" w:rsidRDefault="00982B3F" w:rsidP="00982B3F">
      <w:pPr>
        <w:rPr>
          <w:rFonts w:ascii="Arial" w:eastAsia="Times New Roman" w:hAnsi="Arial" w:cs="Arial"/>
          <w:color w:val="000000"/>
          <w:sz w:val="15"/>
          <w:szCs w:val="15"/>
          <w:lang w:eastAsia="es-ES"/>
        </w:rPr>
      </w:pPr>
      <w:r w:rsidRPr="00982B3F">
        <w:rPr>
          <w:rFonts w:ascii="Arial" w:eastAsia="Times New Roman" w:hAnsi="Arial" w:cs="Arial"/>
          <w:color w:val="000000"/>
          <w:sz w:val="15"/>
          <w:szCs w:val="15"/>
          <w:lang w:eastAsia="es-ES"/>
        </w:rPr>
        <w:t>Se muestra el importe total pagado de Capital al 31 de diciembre del 2021, así como el saldo pendiente de amortizar a la misma fecha.</w:t>
      </w:r>
    </w:p>
    <w:tbl>
      <w:tblPr>
        <w:tblW w:w="7857" w:type="dxa"/>
        <w:tblCellMar>
          <w:left w:w="70" w:type="dxa"/>
          <w:right w:w="70" w:type="dxa"/>
        </w:tblCellMar>
        <w:tblLook w:val="04A0" w:firstRow="1" w:lastRow="0" w:firstColumn="1" w:lastColumn="0" w:noHBand="0" w:noVBand="1"/>
      </w:tblPr>
      <w:tblGrid>
        <w:gridCol w:w="4143"/>
        <w:gridCol w:w="3714"/>
      </w:tblGrid>
      <w:tr w:rsidR="00982B3F" w:rsidRPr="00AD0D2C" w14:paraId="02CD26B5" w14:textId="77777777" w:rsidTr="000B2A1D">
        <w:trPr>
          <w:trHeight w:val="199"/>
        </w:trPr>
        <w:tc>
          <w:tcPr>
            <w:tcW w:w="4143"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FCA1193" w14:textId="77777777" w:rsidR="00982B3F" w:rsidRPr="00AD0D2C" w:rsidRDefault="00982B3F" w:rsidP="004966F3">
            <w:pPr>
              <w:spacing w:after="0" w:line="240" w:lineRule="auto"/>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 xml:space="preserve">Amortizaciones a Capital al 31 de diciembre 2021   </w:t>
            </w:r>
          </w:p>
        </w:tc>
        <w:tc>
          <w:tcPr>
            <w:tcW w:w="3714" w:type="dxa"/>
            <w:tcBorders>
              <w:top w:val="single" w:sz="4" w:space="0" w:color="auto"/>
              <w:left w:val="nil"/>
              <w:bottom w:val="single" w:sz="4" w:space="0" w:color="auto"/>
              <w:right w:val="single" w:sz="4" w:space="0" w:color="auto"/>
            </w:tcBorders>
            <w:shd w:val="clear" w:color="auto" w:fill="auto"/>
            <w:noWrap/>
            <w:vAlign w:val="center"/>
            <w:hideMark/>
          </w:tcPr>
          <w:p w14:paraId="7610EFD1" w14:textId="77777777" w:rsidR="00982B3F" w:rsidRPr="00AD0D2C" w:rsidRDefault="00982B3F" w:rsidP="004966F3">
            <w:pPr>
              <w:spacing w:after="0" w:line="240" w:lineRule="auto"/>
              <w:jc w:val="center"/>
              <w:rPr>
                <w:rFonts w:ascii="Gotham Book" w:eastAsia="Times New Roman" w:hAnsi="Gotham Book" w:cs="Times New Roman"/>
                <w:b/>
                <w:bCs/>
                <w:color w:val="000000"/>
                <w:sz w:val="14"/>
                <w:szCs w:val="20"/>
                <w:lang w:eastAsia="es-MX"/>
              </w:rPr>
            </w:pPr>
            <w:r w:rsidRPr="00AD0D2C">
              <w:rPr>
                <w:rFonts w:ascii="Gotham Book" w:eastAsia="Times New Roman" w:hAnsi="Gotham Book" w:cs="Times New Roman"/>
                <w:b/>
                <w:bCs/>
                <w:color w:val="000000"/>
                <w:sz w:val="14"/>
                <w:szCs w:val="20"/>
                <w:lang w:eastAsia="es-MX"/>
              </w:rPr>
              <w:t xml:space="preserve">                                                             $50,334,673.42 </w:t>
            </w:r>
          </w:p>
        </w:tc>
      </w:tr>
      <w:tr w:rsidR="00982B3F" w:rsidRPr="00AD0D2C" w14:paraId="14A66882" w14:textId="77777777" w:rsidTr="004966F3">
        <w:trPr>
          <w:trHeight w:val="228"/>
        </w:trPr>
        <w:tc>
          <w:tcPr>
            <w:tcW w:w="4143" w:type="dxa"/>
            <w:tcBorders>
              <w:top w:val="nil"/>
              <w:left w:val="single" w:sz="4" w:space="0" w:color="auto"/>
              <w:bottom w:val="single" w:sz="4" w:space="0" w:color="auto"/>
              <w:right w:val="single" w:sz="4" w:space="0" w:color="auto"/>
            </w:tcBorders>
            <w:shd w:val="clear" w:color="000000" w:fill="002060"/>
            <w:noWrap/>
            <w:vAlign w:val="bottom"/>
            <w:hideMark/>
          </w:tcPr>
          <w:p w14:paraId="135291F3" w14:textId="77777777" w:rsidR="00982B3F" w:rsidRPr="00AD0D2C" w:rsidRDefault="00982B3F" w:rsidP="004966F3">
            <w:pPr>
              <w:spacing w:after="0" w:line="240" w:lineRule="auto"/>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 xml:space="preserve">Saldo Pendiente al 31 de diciembre 2021    </w:t>
            </w:r>
          </w:p>
        </w:tc>
        <w:tc>
          <w:tcPr>
            <w:tcW w:w="3714" w:type="dxa"/>
            <w:tcBorders>
              <w:top w:val="nil"/>
              <w:left w:val="nil"/>
              <w:bottom w:val="single" w:sz="4" w:space="0" w:color="auto"/>
              <w:right w:val="single" w:sz="4" w:space="0" w:color="auto"/>
            </w:tcBorders>
            <w:shd w:val="clear" w:color="auto" w:fill="auto"/>
            <w:noWrap/>
            <w:vAlign w:val="center"/>
            <w:hideMark/>
          </w:tcPr>
          <w:p w14:paraId="61B5C07D" w14:textId="77777777" w:rsidR="00982B3F" w:rsidRPr="00AD0D2C" w:rsidRDefault="00982B3F" w:rsidP="004966F3">
            <w:pPr>
              <w:spacing w:after="0" w:line="240" w:lineRule="auto"/>
              <w:jc w:val="center"/>
              <w:rPr>
                <w:rFonts w:ascii="Gotham Book" w:eastAsia="Times New Roman" w:hAnsi="Gotham Book" w:cs="Times New Roman"/>
                <w:b/>
                <w:bCs/>
                <w:color w:val="000000"/>
                <w:sz w:val="14"/>
                <w:szCs w:val="20"/>
                <w:lang w:eastAsia="es-MX"/>
              </w:rPr>
            </w:pPr>
            <w:r w:rsidRPr="00AD0D2C">
              <w:rPr>
                <w:rFonts w:ascii="Gotham Book" w:eastAsia="Times New Roman" w:hAnsi="Gotham Book" w:cs="Times New Roman"/>
                <w:b/>
                <w:bCs/>
                <w:color w:val="000000"/>
                <w:sz w:val="14"/>
                <w:szCs w:val="20"/>
                <w:lang w:eastAsia="es-MX"/>
              </w:rPr>
              <w:t xml:space="preserve">                                                               $36,316,841.58 </w:t>
            </w:r>
          </w:p>
        </w:tc>
      </w:tr>
    </w:tbl>
    <w:p w14:paraId="31A12454" w14:textId="77777777" w:rsidR="00D22AB4" w:rsidRPr="00D22AB4" w:rsidRDefault="00D22AB4" w:rsidP="00982B3F">
      <w:pPr>
        <w:rPr>
          <w:rFonts w:ascii="Arial" w:eastAsia="Times New Roman" w:hAnsi="Arial" w:cs="Arial"/>
          <w:color w:val="000000"/>
          <w:sz w:val="11"/>
          <w:szCs w:val="15"/>
          <w:lang w:eastAsia="es-ES"/>
        </w:rPr>
      </w:pPr>
    </w:p>
    <w:p w14:paraId="62CEB367" w14:textId="32D2331E" w:rsidR="00982B3F" w:rsidRPr="00982B3F" w:rsidRDefault="00982B3F" w:rsidP="00982B3F">
      <w:pPr>
        <w:rPr>
          <w:rFonts w:ascii="Arial" w:eastAsia="Times New Roman" w:hAnsi="Arial" w:cs="Arial"/>
          <w:color w:val="000000"/>
          <w:sz w:val="15"/>
          <w:szCs w:val="15"/>
          <w:lang w:eastAsia="es-ES"/>
        </w:rPr>
      </w:pPr>
      <w:r w:rsidRPr="00982B3F">
        <w:rPr>
          <w:rFonts w:ascii="Arial" w:eastAsia="Times New Roman" w:hAnsi="Arial" w:cs="Arial"/>
          <w:color w:val="000000"/>
          <w:sz w:val="15"/>
          <w:szCs w:val="15"/>
          <w:lang w:eastAsia="es-ES"/>
        </w:rPr>
        <w:t>El Municipio de Corregidora, Querétaro, tiene actualmente contratada una cobertura de tasa de interés CAP con la institución bancaria Banco Monex S.A., la cual surge efectos a partir del día 08 de marzo del ejercicio 2021, como se describe a continuación:</w:t>
      </w:r>
    </w:p>
    <w:p w14:paraId="3AB419CB" w14:textId="1689F79E" w:rsidR="00982B3F" w:rsidRPr="00AD0D2C" w:rsidRDefault="00982B3F" w:rsidP="00AD0D2C">
      <w:pPr>
        <w:pStyle w:val="Prrafodelista"/>
        <w:spacing w:after="160" w:line="259" w:lineRule="auto"/>
        <w:ind w:left="360"/>
        <w:jc w:val="left"/>
        <w:rPr>
          <w:rFonts w:ascii="Gotham Book" w:hAnsi="Gotham Book"/>
          <w:b/>
          <w:color w:val="000000" w:themeColor="text1"/>
          <w:sz w:val="14"/>
          <w:szCs w:val="20"/>
        </w:rPr>
      </w:pPr>
      <w:r w:rsidRPr="00AD0D2C">
        <w:rPr>
          <w:rFonts w:ascii="Gotham Book" w:hAnsi="Gotham Book"/>
          <w:b/>
          <w:color w:val="000000" w:themeColor="text1"/>
          <w:sz w:val="14"/>
          <w:szCs w:val="20"/>
        </w:rPr>
        <w:t xml:space="preserve">CAP  </w:t>
      </w:r>
    </w:p>
    <w:p w14:paraId="2A4E54D1" w14:textId="77777777" w:rsidR="00982B3F" w:rsidRPr="00AD0D2C" w:rsidRDefault="00982B3F" w:rsidP="00AD0D2C">
      <w:pPr>
        <w:pStyle w:val="Prrafodelista"/>
        <w:spacing w:after="160" w:line="259" w:lineRule="auto"/>
        <w:ind w:left="1440"/>
        <w:jc w:val="left"/>
        <w:rPr>
          <w:rFonts w:ascii="Gotham Book" w:hAnsi="Gotham Book"/>
          <w:b/>
          <w:color w:val="000000" w:themeColor="text1"/>
          <w:sz w:val="14"/>
          <w:szCs w:val="20"/>
        </w:rPr>
      </w:pPr>
      <w:r w:rsidRPr="00AD0D2C">
        <w:rPr>
          <w:rFonts w:ascii="Gotham Book" w:hAnsi="Gotham Book"/>
          <w:b/>
          <w:color w:val="000000" w:themeColor="text1"/>
          <w:sz w:val="14"/>
          <w:szCs w:val="20"/>
        </w:rPr>
        <w:t>Cobertura de Tasa de Interés</w:t>
      </w:r>
    </w:p>
    <w:p w14:paraId="1A18A820" w14:textId="77777777" w:rsidR="00982B3F" w:rsidRPr="00AD0D2C" w:rsidRDefault="00982B3F" w:rsidP="00AD0D2C">
      <w:pPr>
        <w:pStyle w:val="Prrafodelista"/>
        <w:spacing w:after="160" w:line="259" w:lineRule="auto"/>
        <w:ind w:left="1440"/>
        <w:jc w:val="left"/>
        <w:rPr>
          <w:rFonts w:ascii="Gotham Book" w:hAnsi="Gotham Book"/>
          <w:b/>
          <w:color w:val="000000" w:themeColor="text1"/>
          <w:sz w:val="14"/>
          <w:szCs w:val="20"/>
        </w:rPr>
      </w:pPr>
      <w:r w:rsidRPr="00AD0D2C">
        <w:rPr>
          <w:rFonts w:ascii="Gotham Book" w:hAnsi="Gotham Book"/>
          <w:b/>
          <w:color w:val="000000" w:themeColor="text1"/>
          <w:sz w:val="14"/>
          <w:szCs w:val="20"/>
        </w:rPr>
        <w:t>Institución Bancaria: Banco Monex S.A.</w:t>
      </w:r>
    </w:p>
    <w:p w14:paraId="3EF69111" w14:textId="77777777" w:rsidR="00982B3F" w:rsidRPr="00AD0D2C" w:rsidRDefault="00982B3F" w:rsidP="00AD0D2C">
      <w:pPr>
        <w:pStyle w:val="Prrafodelista"/>
        <w:spacing w:after="160" w:line="259" w:lineRule="auto"/>
        <w:ind w:left="1440"/>
        <w:jc w:val="left"/>
        <w:rPr>
          <w:rFonts w:ascii="Gotham Book" w:hAnsi="Gotham Book"/>
          <w:b/>
          <w:color w:val="000000" w:themeColor="text1"/>
          <w:sz w:val="14"/>
          <w:szCs w:val="20"/>
        </w:rPr>
      </w:pPr>
      <w:r w:rsidRPr="00AD0D2C">
        <w:rPr>
          <w:rFonts w:ascii="Gotham Book" w:hAnsi="Gotham Book"/>
          <w:b/>
          <w:color w:val="000000" w:themeColor="text1"/>
          <w:sz w:val="14"/>
          <w:szCs w:val="20"/>
        </w:rPr>
        <w:t>Prima: 629,950.15</w:t>
      </w:r>
    </w:p>
    <w:p w14:paraId="142810EB" w14:textId="77777777" w:rsidR="00982B3F" w:rsidRPr="00AD0D2C" w:rsidRDefault="00982B3F" w:rsidP="00AD0D2C">
      <w:pPr>
        <w:pStyle w:val="Prrafodelista"/>
        <w:spacing w:after="160" w:line="259" w:lineRule="auto"/>
        <w:ind w:left="1440"/>
        <w:jc w:val="left"/>
        <w:rPr>
          <w:color w:val="000000" w:themeColor="text1"/>
          <w:sz w:val="14"/>
          <w:szCs w:val="20"/>
        </w:rPr>
      </w:pPr>
      <w:r w:rsidRPr="00AD0D2C">
        <w:rPr>
          <w:rFonts w:ascii="Gotham Book" w:hAnsi="Gotham Book"/>
          <w:b/>
          <w:color w:val="000000" w:themeColor="text1"/>
          <w:sz w:val="14"/>
          <w:szCs w:val="20"/>
        </w:rPr>
        <w:t xml:space="preserve">Strike: 4.5 </w:t>
      </w:r>
    </w:p>
    <w:p w14:paraId="601DD5BF" w14:textId="77777777" w:rsidR="00982B3F" w:rsidRPr="00AD0D2C" w:rsidRDefault="00982B3F" w:rsidP="00AD0D2C">
      <w:pPr>
        <w:pStyle w:val="Prrafodelista"/>
        <w:spacing w:after="160" w:line="259" w:lineRule="auto"/>
        <w:ind w:left="1440"/>
        <w:jc w:val="left"/>
        <w:rPr>
          <w:color w:val="000000" w:themeColor="text1"/>
          <w:sz w:val="14"/>
          <w:szCs w:val="20"/>
        </w:rPr>
      </w:pPr>
      <w:r w:rsidRPr="00AD0D2C">
        <w:rPr>
          <w:rFonts w:ascii="Gotham Book" w:hAnsi="Gotham Book"/>
          <w:b/>
          <w:color w:val="000000" w:themeColor="text1"/>
          <w:sz w:val="14"/>
          <w:szCs w:val="20"/>
        </w:rPr>
        <w:t>Fecha Vencimiento: 29 febrero 2024</w:t>
      </w:r>
    </w:p>
    <w:p w14:paraId="739DDA13" w14:textId="77777777" w:rsidR="00982B3F" w:rsidRPr="00AD0D2C" w:rsidRDefault="00982B3F" w:rsidP="00AD0D2C">
      <w:pPr>
        <w:pStyle w:val="Prrafodelista"/>
        <w:spacing w:after="160" w:line="259" w:lineRule="auto"/>
        <w:ind w:left="1440"/>
        <w:jc w:val="left"/>
        <w:rPr>
          <w:color w:val="000000" w:themeColor="text1"/>
          <w:sz w:val="14"/>
          <w:szCs w:val="20"/>
        </w:rPr>
      </w:pPr>
      <w:r w:rsidRPr="00AD0D2C">
        <w:rPr>
          <w:rFonts w:ascii="Gotham Book" w:hAnsi="Gotham Book"/>
          <w:b/>
          <w:color w:val="000000" w:themeColor="text1"/>
          <w:sz w:val="14"/>
          <w:szCs w:val="20"/>
        </w:rPr>
        <w:t>Monto recuperado durante el ejercicio 2021: $57,302.75</w:t>
      </w:r>
      <w:r w:rsidRPr="00AD0D2C">
        <w:rPr>
          <w:color w:val="000000" w:themeColor="text1"/>
          <w:sz w:val="14"/>
          <w:szCs w:val="20"/>
        </w:rPr>
        <w:t xml:space="preserve"> </w:t>
      </w:r>
    </w:p>
    <w:p w14:paraId="3D9AE2A2" w14:textId="77777777" w:rsidR="00982B3F" w:rsidRPr="00AD0D2C" w:rsidRDefault="00982B3F" w:rsidP="00982B3F">
      <w:pPr>
        <w:rPr>
          <w:rFonts w:ascii="Arial" w:eastAsia="Times New Roman" w:hAnsi="Arial" w:cs="Arial"/>
          <w:color w:val="000000"/>
          <w:sz w:val="15"/>
          <w:szCs w:val="15"/>
          <w:lang w:eastAsia="es-ES"/>
        </w:rPr>
      </w:pPr>
      <w:r w:rsidRPr="00AD0D2C">
        <w:rPr>
          <w:rFonts w:ascii="Arial" w:eastAsia="Times New Roman" w:hAnsi="Arial" w:cs="Arial"/>
          <w:color w:val="000000"/>
          <w:sz w:val="15"/>
          <w:szCs w:val="15"/>
          <w:lang w:eastAsia="es-ES"/>
        </w:rPr>
        <w:t>Durante el ejercicio fiscal 2021, se erogó por concepto de intereses de la Deuda un importe total de:</w:t>
      </w:r>
    </w:p>
    <w:tbl>
      <w:tblPr>
        <w:tblW w:w="7806" w:type="dxa"/>
        <w:tblCellMar>
          <w:left w:w="70" w:type="dxa"/>
          <w:right w:w="70" w:type="dxa"/>
        </w:tblCellMar>
        <w:tblLook w:val="04A0" w:firstRow="1" w:lastRow="0" w:firstColumn="1" w:lastColumn="0" w:noHBand="0" w:noVBand="1"/>
      </w:tblPr>
      <w:tblGrid>
        <w:gridCol w:w="4189"/>
        <w:gridCol w:w="3617"/>
      </w:tblGrid>
      <w:tr w:rsidR="00982B3F" w:rsidRPr="00AD0D2C" w14:paraId="5987D778" w14:textId="77777777" w:rsidTr="00AD0D2C">
        <w:trPr>
          <w:trHeight w:val="167"/>
        </w:trPr>
        <w:tc>
          <w:tcPr>
            <w:tcW w:w="4189"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C5CF1F3" w14:textId="77777777" w:rsidR="00982B3F" w:rsidRDefault="00982B3F" w:rsidP="00AD0D2C">
            <w:pPr>
              <w:spacing w:after="0" w:line="240" w:lineRule="auto"/>
              <w:jc w:val="center"/>
              <w:rPr>
                <w:rFonts w:ascii="Gotham Book" w:eastAsia="Times New Roman" w:hAnsi="Gotham Book" w:cs="Times New Roman"/>
                <w:color w:val="FFFFFF"/>
                <w:sz w:val="14"/>
                <w:szCs w:val="20"/>
                <w:lang w:eastAsia="es-MX"/>
              </w:rPr>
            </w:pPr>
            <w:r w:rsidRPr="00AD0D2C">
              <w:rPr>
                <w:rFonts w:ascii="Gotham Book" w:eastAsia="Times New Roman" w:hAnsi="Gotham Book" w:cs="Times New Roman"/>
                <w:color w:val="FFFFFF"/>
                <w:sz w:val="14"/>
                <w:szCs w:val="20"/>
                <w:lang w:eastAsia="es-MX"/>
              </w:rPr>
              <w:t>Importe Pagado de Intereses durante el ejercicio 2021</w:t>
            </w:r>
          </w:p>
          <w:p w14:paraId="4DFF1F50" w14:textId="75EC7BF9" w:rsidR="00AD0D2C" w:rsidRPr="00AD0D2C" w:rsidRDefault="00AD0D2C" w:rsidP="00AD0D2C">
            <w:pPr>
              <w:spacing w:after="0" w:line="240" w:lineRule="auto"/>
              <w:jc w:val="center"/>
              <w:rPr>
                <w:rFonts w:ascii="Gotham Book" w:eastAsia="Times New Roman" w:hAnsi="Gotham Book" w:cs="Times New Roman"/>
                <w:color w:val="FFFFFF"/>
                <w:sz w:val="14"/>
                <w:szCs w:val="20"/>
                <w:lang w:eastAsia="es-MX"/>
              </w:rPr>
            </w:pPr>
          </w:p>
        </w:tc>
        <w:tc>
          <w:tcPr>
            <w:tcW w:w="3617" w:type="dxa"/>
            <w:tcBorders>
              <w:top w:val="single" w:sz="4" w:space="0" w:color="auto"/>
              <w:left w:val="nil"/>
              <w:bottom w:val="single" w:sz="4" w:space="0" w:color="auto"/>
              <w:right w:val="single" w:sz="4" w:space="0" w:color="auto"/>
            </w:tcBorders>
            <w:shd w:val="clear" w:color="auto" w:fill="auto"/>
            <w:noWrap/>
            <w:vAlign w:val="center"/>
            <w:hideMark/>
          </w:tcPr>
          <w:p w14:paraId="0771C63C" w14:textId="77777777" w:rsidR="00982B3F" w:rsidRDefault="00982B3F" w:rsidP="004966F3">
            <w:pPr>
              <w:spacing w:after="0" w:line="240" w:lineRule="auto"/>
              <w:jc w:val="center"/>
              <w:rPr>
                <w:rFonts w:ascii="Gotham Book" w:eastAsia="Times New Roman" w:hAnsi="Gotham Book" w:cs="Times New Roman"/>
                <w:b/>
                <w:bCs/>
                <w:color w:val="000000"/>
                <w:sz w:val="14"/>
                <w:szCs w:val="20"/>
                <w:lang w:eastAsia="es-MX"/>
              </w:rPr>
            </w:pPr>
            <w:r w:rsidRPr="00AD0D2C">
              <w:rPr>
                <w:rFonts w:ascii="Gotham Book" w:eastAsia="Times New Roman" w:hAnsi="Gotham Book" w:cs="Times New Roman"/>
                <w:b/>
                <w:bCs/>
                <w:color w:val="000000"/>
                <w:sz w:val="14"/>
                <w:szCs w:val="20"/>
                <w:lang w:eastAsia="es-MX"/>
              </w:rPr>
              <w:t xml:space="preserve">                                                               $2,288,489.96 </w:t>
            </w:r>
          </w:p>
          <w:p w14:paraId="4F610EF6" w14:textId="4353F884" w:rsidR="00AD0D2C" w:rsidRPr="00AD0D2C" w:rsidRDefault="00AD0D2C" w:rsidP="004966F3">
            <w:pPr>
              <w:spacing w:after="0" w:line="240" w:lineRule="auto"/>
              <w:jc w:val="center"/>
              <w:rPr>
                <w:rFonts w:ascii="Gotham Book" w:eastAsia="Times New Roman" w:hAnsi="Gotham Book" w:cs="Times New Roman"/>
                <w:b/>
                <w:bCs/>
                <w:color w:val="000000"/>
                <w:sz w:val="14"/>
                <w:szCs w:val="20"/>
                <w:lang w:eastAsia="es-MX"/>
              </w:rPr>
            </w:pPr>
          </w:p>
        </w:tc>
      </w:tr>
    </w:tbl>
    <w:p w14:paraId="0D4064A7" w14:textId="13401084" w:rsidR="00982B3F" w:rsidRPr="00982B3F" w:rsidRDefault="00982B3F" w:rsidP="00AA36EB">
      <w:pPr>
        <w:spacing w:after="0"/>
        <w:jc w:val="both"/>
        <w:rPr>
          <w:rFonts w:ascii="Arial" w:eastAsia="Times New Roman" w:hAnsi="Arial" w:cs="Arial"/>
          <w:b/>
          <w:color w:val="000000"/>
          <w:sz w:val="15"/>
          <w:szCs w:val="15"/>
          <w:lang w:eastAsia="es-ES"/>
        </w:rPr>
      </w:pPr>
    </w:p>
    <w:p w14:paraId="02168984" w14:textId="2FAD297E" w:rsidR="00B3502E" w:rsidRDefault="000B2A1D" w:rsidP="000B2A1D">
      <w:pPr>
        <w:spacing w:after="0"/>
        <w:jc w:val="both"/>
        <w:rPr>
          <w:rFonts w:ascii="Arial" w:eastAsia="Times New Roman" w:hAnsi="Arial" w:cs="Arial"/>
          <w:b/>
          <w:color w:val="000000" w:themeColor="text1"/>
          <w:sz w:val="15"/>
          <w:szCs w:val="15"/>
          <w:lang w:eastAsia="es-MX"/>
        </w:rPr>
      </w:pPr>
      <w:r>
        <w:rPr>
          <w:rFonts w:ascii="Arial" w:eastAsia="Times New Roman" w:hAnsi="Arial" w:cs="Arial"/>
          <w:b/>
          <w:bCs/>
          <w:color w:val="000000" w:themeColor="text1"/>
          <w:sz w:val="15"/>
          <w:szCs w:val="15"/>
          <w:lang w:eastAsia="es-MX"/>
        </w:rPr>
        <w:t>Calificaciones otorgadas</w:t>
      </w:r>
    </w:p>
    <w:p w14:paraId="35A640CE" w14:textId="321D5BF4"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Moody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Pr="00B3502E">
        <w:rPr>
          <w:rFonts w:ascii="Arial" w:eastAsia="Times New Roman" w:hAnsi="Arial" w:cs="Arial"/>
          <w:sz w:val="15"/>
          <w:szCs w:val="15"/>
          <w:lang w:eastAsia="es-MX"/>
        </w:rPr>
        <w:t xml:space="preserve"> </w:t>
      </w:r>
    </w:p>
    <w:p w14:paraId="2AB62528" w14:textId="14368996"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ratifica la calificación del Municipio de Corregidora, Querétaro en Moneda Local en </w:t>
      </w:r>
      <w:r w:rsidR="00DC2CCF">
        <w:rPr>
          <w:rFonts w:ascii="Arial" w:eastAsia="Times New Roman" w:hAnsi="Arial" w:cs="Arial"/>
          <w:sz w:val="15"/>
          <w:szCs w:val="15"/>
          <w:lang w:eastAsia="es-MX"/>
        </w:rPr>
        <w:t xml:space="preserve"> “BBB-</w:t>
      </w:r>
      <w:r w:rsidRPr="00E4122D">
        <w:rPr>
          <w:rFonts w:ascii="Arial" w:eastAsia="Times New Roman" w:hAnsi="Arial" w:cs="Arial"/>
          <w:sz w:val="15"/>
          <w:szCs w:val="15"/>
          <w:lang w:eastAsia="es-MX"/>
        </w:rPr>
        <w:t>“, y la calificación de largo plazo en escala nacional en ‘AAA(mex)’. La Perspectiva para ambas calificaciones es Estable, esto debido a que un Gobierno subnacional no puede ser calificado por encima del Soberano.</w:t>
      </w:r>
    </w:p>
    <w:p w14:paraId="36DDDF9F" w14:textId="72F59DE7"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t>Proceso de Mejora.</w:t>
      </w:r>
      <w:r w:rsidRPr="000B2A1D">
        <w:rPr>
          <w:rFonts w:ascii="Arial" w:eastAsia="Times New Roman" w:hAnsi="Arial" w:cs="Arial"/>
          <w:color w:val="000000" w:themeColor="text1"/>
          <w:sz w:val="15"/>
          <w:szCs w:val="15"/>
          <w:lang w:eastAsia="es-MX"/>
        </w:rPr>
        <w:t xml:space="preserve"> </w:t>
      </w:r>
    </w:p>
    <w:p w14:paraId="27378A3D" w14:textId="0D496894" w:rsidR="00457221" w:rsidRPr="00457221" w:rsidRDefault="000B2A1D"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Se implementará el Sistema de Control Interno y de Administración de Riesgos del Municipio de Corregidora Qro.</w:t>
      </w:r>
    </w:p>
    <w:p w14:paraId="7BE0E560" w14:textId="77777777" w:rsidR="00D22572" w:rsidRDefault="00D22572"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p>
    <w:p w14:paraId="14B1FAC0" w14:textId="6467C441"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lastRenderedPageBreak/>
        <w:t>Información por Segmentos.</w:t>
      </w:r>
      <w:r w:rsidRPr="000B2A1D">
        <w:rPr>
          <w:rFonts w:ascii="Arial" w:eastAsia="Times New Roman" w:hAnsi="Arial" w:cs="Arial"/>
          <w:color w:val="000000" w:themeColor="text1"/>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25AB6DED"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t>Eventos Posteriores al Cierre.</w:t>
      </w:r>
      <w:r w:rsidRPr="000B2A1D">
        <w:rPr>
          <w:rFonts w:ascii="Arial" w:eastAsia="Times New Roman" w:hAnsi="Arial" w:cs="Arial"/>
          <w:color w:val="000000" w:themeColor="text1"/>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38A8B63D" w:rsidR="00B3502E" w:rsidRPr="000B2A1D"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0B2A1D">
        <w:rPr>
          <w:rFonts w:ascii="Arial" w:eastAsia="Times New Roman" w:hAnsi="Arial" w:cs="Arial"/>
          <w:b/>
          <w:bCs/>
          <w:color w:val="000000" w:themeColor="text1"/>
          <w:sz w:val="15"/>
          <w:szCs w:val="15"/>
          <w:lang w:eastAsia="es-MX"/>
        </w:rPr>
        <w:t xml:space="preserve">Partes Relacionadas.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5B269280" w:rsidR="00B3502E" w:rsidRPr="000B2A1D"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0B2A1D">
        <w:rPr>
          <w:rFonts w:ascii="Arial" w:eastAsia="Times New Roman" w:hAnsi="Arial" w:cs="Arial"/>
          <w:b/>
          <w:bCs/>
          <w:color w:val="000000" w:themeColor="text1"/>
          <w:sz w:val="15"/>
          <w:szCs w:val="15"/>
          <w:lang w:eastAsia="es-MX"/>
        </w:rPr>
        <w:t xml:space="preserve">Responsabilidad Sobre la Presentación Razonable de los Estados Financieros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37360872" w:rsidR="00B16766"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0719FBCF" w14:textId="77777777" w:rsidR="00B16766" w:rsidRPr="00E26C0A" w:rsidRDefault="00B16766" w:rsidP="00B16766">
      <w:pPr>
        <w:rPr>
          <w:rFonts w:ascii="Arial" w:eastAsia="Times New Roman" w:hAnsi="Arial" w:cs="Arial"/>
          <w:sz w:val="15"/>
          <w:szCs w:val="15"/>
          <w:lang w:eastAsia="es-MX"/>
        </w:rPr>
      </w:pPr>
      <w:r w:rsidRPr="00E26C0A">
        <w:rPr>
          <w:sz w:val="15"/>
          <w:szCs w:val="15"/>
        </w:rPr>
        <w:t>Art. 48 de la Ley de Contabilidad Gubernamental, Art. 66 fracción XXX de la Ley de Transparencia y Acceso a la Información Pública del Estado de Querétaro.</w:t>
      </w:r>
    </w:p>
    <w:p w14:paraId="2EEEC20D" w14:textId="77777777" w:rsidR="0032250B" w:rsidRPr="00B16766" w:rsidRDefault="0032250B" w:rsidP="00B16766">
      <w:pPr>
        <w:rPr>
          <w:rFonts w:ascii="Arial" w:eastAsia="Times New Roman" w:hAnsi="Arial" w:cs="Arial"/>
          <w:sz w:val="15"/>
          <w:szCs w:val="15"/>
          <w:lang w:eastAsia="es-MX"/>
        </w:rPr>
      </w:pPr>
      <w:bookmarkStart w:id="0" w:name="_GoBack"/>
      <w:bookmarkEnd w:id="0"/>
    </w:p>
    <w:sectPr w:rsidR="0032250B" w:rsidRPr="00B16766" w:rsidSect="009D13C4">
      <w:headerReference w:type="default" r:id="rId38"/>
      <w:footerReference w:type="default" r:id="rId39"/>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91C6" w14:textId="77777777" w:rsidR="00620DCB" w:rsidRDefault="00620DCB" w:rsidP="00C92EB1">
      <w:pPr>
        <w:spacing w:after="0" w:line="240" w:lineRule="auto"/>
      </w:pPr>
      <w:r>
        <w:separator/>
      </w:r>
    </w:p>
  </w:endnote>
  <w:endnote w:type="continuationSeparator" w:id="0">
    <w:p w14:paraId="7FB36055" w14:textId="77777777" w:rsidR="00620DCB" w:rsidRDefault="00620DCB"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31E76FA8" w:rsidR="00493847" w:rsidRDefault="00493847">
        <w:pPr>
          <w:pStyle w:val="Piedepgina"/>
          <w:jc w:val="right"/>
        </w:pPr>
        <w:r>
          <w:fldChar w:fldCharType="begin"/>
        </w:r>
        <w:r>
          <w:instrText>PAGE   \* MERGEFORMAT</w:instrText>
        </w:r>
        <w:r>
          <w:fldChar w:fldCharType="separate"/>
        </w:r>
        <w:r w:rsidR="00B16766" w:rsidRPr="00B16766">
          <w:rPr>
            <w:noProof/>
            <w:lang w:val="es-ES"/>
          </w:rPr>
          <w:t>14</w:t>
        </w:r>
        <w:r>
          <w:fldChar w:fldCharType="end"/>
        </w:r>
      </w:p>
    </w:sdtContent>
  </w:sdt>
  <w:p w14:paraId="51A3D0E5" w14:textId="77777777" w:rsidR="00493847" w:rsidRDefault="004938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4EBD" w14:textId="77777777" w:rsidR="00620DCB" w:rsidRDefault="00620DCB" w:rsidP="00C92EB1">
      <w:pPr>
        <w:spacing w:after="0" w:line="240" w:lineRule="auto"/>
      </w:pPr>
      <w:r>
        <w:separator/>
      </w:r>
    </w:p>
  </w:footnote>
  <w:footnote w:type="continuationSeparator" w:id="0">
    <w:p w14:paraId="3083F29E" w14:textId="77777777" w:rsidR="00620DCB" w:rsidRDefault="00620DCB"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493847" w:rsidRDefault="00493847"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493847" w:rsidRDefault="00493847"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1.95pt;height:171.85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23568"/>
    <w:rsid w:val="000251D6"/>
    <w:rsid w:val="000264C7"/>
    <w:rsid w:val="0002714A"/>
    <w:rsid w:val="0003507C"/>
    <w:rsid w:val="000437E3"/>
    <w:rsid w:val="000440E1"/>
    <w:rsid w:val="0005147B"/>
    <w:rsid w:val="00054DA2"/>
    <w:rsid w:val="000713F4"/>
    <w:rsid w:val="00076BA9"/>
    <w:rsid w:val="00077DF4"/>
    <w:rsid w:val="0008053C"/>
    <w:rsid w:val="000820F4"/>
    <w:rsid w:val="0008267B"/>
    <w:rsid w:val="00086D67"/>
    <w:rsid w:val="00090BD4"/>
    <w:rsid w:val="00091489"/>
    <w:rsid w:val="00097630"/>
    <w:rsid w:val="0009773F"/>
    <w:rsid w:val="000A3ACC"/>
    <w:rsid w:val="000A4403"/>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E401E"/>
    <w:rsid w:val="000F50EE"/>
    <w:rsid w:val="000F6D32"/>
    <w:rsid w:val="00120C65"/>
    <w:rsid w:val="00125FC0"/>
    <w:rsid w:val="00126745"/>
    <w:rsid w:val="0012744D"/>
    <w:rsid w:val="001321AE"/>
    <w:rsid w:val="00134765"/>
    <w:rsid w:val="00142080"/>
    <w:rsid w:val="001477AC"/>
    <w:rsid w:val="00151987"/>
    <w:rsid w:val="00153E6E"/>
    <w:rsid w:val="00165259"/>
    <w:rsid w:val="00173E09"/>
    <w:rsid w:val="00174644"/>
    <w:rsid w:val="0017691F"/>
    <w:rsid w:val="001815A2"/>
    <w:rsid w:val="00186032"/>
    <w:rsid w:val="001873D3"/>
    <w:rsid w:val="00187678"/>
    <w:rsid w:val="001876D9"/>
    <w:rsid w:val="00191C22"/>
    <w:rsid w:val="001A3EED"/>
    <w:rsid w:val="001A523A"/>
    <w:rsid w:val="001C220B"/>
    <w:rsid w:val="001C318B"/>
    <w:rsid w:val="001C4664"/>
    <w:rsid w:val="001D4772"/>
    <w:rsid w:val="001E2211"/>
    <w:rsid w:val="001E7B81"/>
    <w:rsid w:val="001F209C"/>
    <w:rsid w:val="001F5BE7"/>
    <w:rsid w:val="0020122A"/>
    <w:rsid w:val="00205B55"/>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297"/>
    <w:rsid w:val="0025527F"/>
    <w:rsid w:val="002556EB"/>
    <w:rsid w:val="00271A98"/>
    <w:rsid w:val="00275700"/>
    <w:rsid w:val="00282F67"/>
    <w:rsid w:val="0029200C"/>
    <w:rsid w:val="002A29AD"/>
    <w:rsid w:val="002A493F"/>
    <w:rsid w:val="002A54A5"/>
    <w:rsid w:val="002B047A"/>
    <w:rsid w:val="002B79B5"/>
    <w:rsid w:val="002D75D0"/>
    <w:rsid w:val="002E713A"/>
    <w:rsid w:val="002E7C3E"/>
    <w:rsid w:val="002F28D9"/>
    <w:rsid w:val="002F4B3A"/>
    <w:rsid w:val="002F5F39"/>
    <w:rsid w:val="002F69BB"/>
    <w:rsid w:val="00303FD7"/>
    <w:rsid w:val="003068EB"/>
    <w:rsid w:val="00310EC9"/>
    <w:rsid w:val="00316635"/>
    <w:rsid w:val="0032250B"/>
    <w:rsid w:val="00334B22"/>
    <w:rsid w:val="00335C5C"/>
    <w:rsid w:val="003440D7"/>
    <w:rsid w:val="00344252"/>
    <w:rsid w:val="003474BA"/>
    <w:rsid w:val="00353E55"/>
    <w:rsid w:val="00355B12"/>
    <w:rsid w:val="0036189A"/>
    <w:rsid w:val="00363634"/>
    <w:rsid w:val="00370E7E"/>
    <w:rsid w:val="003710D7"/>
    <w:rsid w:val="0037522D"/>
    <w:rsid w:val="00380445"/>
    <w:rsid w:val="003846C3"/>
    <w:rsid w:val="003867CB"/>
    <w:rsid w:val="00392418"/>
    <w:rsid w:val="0039271A"/>
    <w:rsid w:val="00392A84"/>
    <w:rsid w:val="00395BF7"/>
    <w:rsid w:val="003A02AA"/>
    <w:rsid w:val="003A3391"/>
    <w:rsid w:val="003A3A2B"/>
    <w:rsid w:val="003B0C43"/>
    <w:rsid w:val="003B3B18"/>
    <w:rsid w:val="003B3F86"/>
    <w:rsid w:val="003C151E"/>
    <w:rsid w:val="003D5563"/>
    <w:rsid w:val="003D5C34"/>
    <w:rsid w:val="003E4B20"/>
    <w:rsid w:val="003E7D47"/>
    <w:rsid w:val="003F2C9A"/>
    <w:rsid w:val="00405F9B"/>
    <w:rsid w:val="00410AAF"/>
    <w:rsid w:val="00411376"/>
    <w:rsid w:val="004205F2"/>
    <w:rsid w:val="00424A9F"/>
    <w:rsid w:val="00425EB0"/>
    <w:rsid w:val="00427A72"/>
    <w:rsid w:val="0043386E"/>
    <w:rsid w:val="00433FF3"/>
    <w:rsid w:val="00434DF6"/>
    <w:rsid w:val="00451B77"/>
    <w:rsid w:val="00453CD2"/>
    <w:rsid w:val="00457221"/>
    <w:rsid w:val="004651FA"/>
    <w:rsid w:val="004659A1"/>
    <w:rsid w:val="00471D57"/>
    <w:rsid w:val="00477BA2"/>
    <w:rsid w:val="0048038B"/>
    <w:rsid w:val="0048733F"/>
    <w:rsid w:val="00490D84"/>
    <w:rsid w:val="00490F85"/>
    <w:rsid w:val="00492C2C"/>
    <w:rsid w:val="00493847"/>
    <w:rsid w:val="004B0CFA"/>
    <w:rsid w:val="004B3B71"/>
    <w:rsid w:val="004B68C5"/>
    <w:rsid w:val="004E16F0"/>
    <w:rsid w:val="004F386D"/>
    <w:rsid w:val="004F5E43"/>
    <w:rsid w:val="004F7052"/>
    <w:rsid w:val="00507CA1"/>
    <w:rsid w:val="00514F91"/>
    <w:rsid w:val="00520817"/>
    <w:rsid w:val="00533E8E"/>
    <w:rsid w:val="00536924"/>
    <w:rsid w:val="0054234B"/>
    <w:rsid w:val="0054655D"/>
    <w:rsid w:val="00550715"/>
    <w:rsid w:val="00556464"/>
    <w:rsid w:val="00564F3D"/>
    <w:rsid w:val="0057186B"/>
    <w:rsid w:val="005749E4"/>
    <w:rsid w:val="00577F7A"/>
    <w:rsid w:val="005804DB"/>
    <w:rsid w:val="0059795B"/>
    <w:rsid w:val="005A102B"/>
    <w:rsid w:val="005A1206"/>
    <w:rsid w:val="005A2820"/>
    <w:rsid w:val="005A70F2"/>
    <w:rsid w:val="005B4A99"/>
    <w:rsid w:val="005B5535"/>
    <w:rsid w:val="005B5E54"/>
    <w:rsid w:val="005C3970"/>
    <w:rsid w:val="005D2196"/>
    <w:rsid w:val="005D4B7D"/>
    <w:rsid w:val="005D5C8E"/>
    <w:rsid w:val="005E6E7C"/>
    <w:rsid w:val="005F0B1B"/>
    <w:rsid w:val="005F1025"/>
    <w:rsid w:val="006035A1"/>
    <w:rsid w:val="0060596F"/>
    <w:rsid w:val="00611DA9"/>
    <w:rsid w:val="006147FC"/>
    <w:rsid w:val="00620DCB"/>
    <w:rsid w:val="006235F3"/>
    <w:rsid w:val="00626AB8"/>
    <w:rsid w:val="00641AD3"/>
    <w:rsid w:val="006423E4"/>
    <w:rsid w:val="00642DB0"/>
    <w:rsid w:val="006508E1"/>
    <w:rsid w:val="0066011B"/>
    <w:rsid w:val="00665181"/>
    <w:rsid w:val="00672A8C"/>
    <w:rsid w:val="00674DBD"/>
    <w:rsid w:val="00677270"/>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E6E"/>
    <w:rsid w:val="006F214D"/>
    <w:rsid w:val="006F799E"/>
    <w:rsid w:val="00711EB3"/>
    <w:rsid w:val="00713408"/>
    <w:rsid w:val="007137FD"/>
    <w:rsid w:val="0071629B"/>
    <w:rsid w:val="007268C2"/>
    <w:rsid w:val="0073303D"/>
    <w:rsid w:val="00733841"/>
    <w:rsid w:val="00740771"/>
    <w:rsid w:val="00743704"/>
    <w:rsid w:val="00746DB9"/>
    <w:rsid w:val="0074739C"/>
    <w:rsid w:val="007511C8"/>
    <w:rsid w:val="00752429"/>
    <w:rsid w:val="00752CBE"/>
    <w:rsid w:val="00756499"/>
    <w:rsid w:val="007628B5"/>
    <w:rsid w:val="00763FEA"/>
    <w:rsid w:val="00767C86"/>
    <w:rsid w:val="00773183"/>
    <w:rsid w:val="0077349E"/>
    <w:rsid w:val="007738E5"/>
    <w:rsid w:val="0077726B"/>
    <w:rsid w:val="00777289"/>
    <w:rsid w:val="00777D1A"/>
    <w:rsid w:val="00780EEE"/>
    <w:rsid w:val="0078290E"/>
    <w:rsid w:val="007860AC"/>
    <w:rsid w:val="0079088F"/>
    <w:rsid w:val="007911FD"/>
    <w:rsid w:val="00792D88"/>
    <w:rsid w:val="007941D5"/>
    <w:rsid w:val="007A06E7"/>
    <w:rsid w:val="007A22C6"/>
    <w:rsid w:val="007A5CB2"/>
    <w:rsid w:val="007A66C9"/>
    <w:rsid w:val="007B1EBB"/>
    <w:rsid w:val="007B20B0"/>
    <w:rsid w:val="007B6F7C"/>
    <w:rsid w:val="007B6FD6"/>
    <w:rsid w:val="007B7F2D"/>
    <w:rsid w:val="007C17BC"/>
    <w:rsid w:val="007C2AF6"/>
    <w:rsid w:val="007D42CD"/>
    <w:rsid w:val="007D45C3"/>
    <w:rsid w:val="007D7B9F"/>
    <w:rsid w:val="007E22D2"/>
    <w:rsid w:val="007F7A79"/>
    <w:rsid w:val="00804540"/>
    <w:rsid w:val="00806FB2"/>
    <w:rsid w:val="008073BB"/>
    <w:rsid w:val="00813CA1"/>
    <w:rsid w:val="008154E7"/>
    <w:rsid w:val="00815DDD"/>
    <w:rsid w:val="008224FF"/>
    <w:rsid w:val="0082520D"/>
    <w:rsid w:val="0082596D"/>
    <w:rsid w:val="00830CEF"/>
    <w:rsid w:val="00831214"/>
    <w:rsid w:val="0083461A"/>
    <w:rsid w:val="00834902"/>
    <w:rsid w:val="00842549"/>
    <w:rsid w:val="00843CFB"/>
    <w:rsid w:val="00847A11"/>
    <w:rsid w:val="00854FE3"/>
    <w:rsid w:val="008560AD"/>
    <w:rsid w:val="00865566"/>
    <w:rsid w:val="008704C7"/>
    <w:rsid w:val="00885D20"/>
    <w:rsid w:val="008902FC"/>
    <w:rsid w:val="00892C62"/>
    <w:rsid w:val="008A1BA4"/>
    <w:rsid w:val="008A346F"/>
    <w:rsid w:val="008A363D"/>
    <w:rsid w:val="008A4AED"/>
    <w:rsid w:val="008A7B25"/>
    <w:rsid w:val="008B1034"/>
    <w:rsid w:val="008B78B5"/>
    <w:rsid w:val="008B7B71"/>
    <w:rsid w:val="008C3966"/>
    <w:rsid w:val="008C6F10"/>
    <w:rsid w:val="008D590A"/>
    <w:rsid w:val="008D7286"/>
    <w:rsid w:val="008E066D"/>
    <w:rsid w:val="008F4FD1"/>
    <w:rsid w:val="008F6B39"/>
    <w:rsid w:val="008F7088"/>
    <w:rsid w:val="009012C3"/>
    <w:rsid w:val="00905C46"/>
    <w:rsid w:val="00911CC5"/>
    <w:rsid w:val="00913B8D"/>
    <w:rsid w:val="00916525"/>
    <w:rsid w:val="009165F2"/>
    <w:rsid w:val="009312C6"/>
    <w:rsid w:val="00944DA7"/>
    <w:rsid w:val="0094750B"/>
    <w:rsid w:val="00952859"/>
    <w:rsid w:val="009559B0"/>
    <w:rsid w:val="00972BE9"/>
    <w:rsid w:val="00982B3F"/>
    <w:rsid w:val="0099013F"/>
    <w:rsid w:val="00992B78"/>
    <w:rsid w:val="00995BF0"/>
    <w:rsid w:val="009A575F"/>
    <w:rsid w:val="009A627C"/>
    <w:rsid w:val="009A6D9A"/>
    <w:rsid w:val="009A75DA"/>
    <w:rsid w:val="009D13C4"/>
    <w:rsid w:val="009D455D"/>
    <w:rsid w:val="009D79E7"/>
    <w:rsid w:val="009E19E5"/>
    <w:rsid w:val="009E28B8"/>
    <w:rsid w:val="009E5C73"/>
    <w:rsid w:val="009E7BAE"/>
    <w:rsid w:val="009F158F"/>
    <w:rsid w:val="009F6C2D"/>
    <w:rsid w:val="009F6DFA"/>
    <w:rsid w:val="00A01052"/>
    <w:rsid w:val="00A01748"/>
    <w:rsid w:val="00A04D9D"/>
    <w:rsid w:val="00A05185"/>
    <w:rsid w:val="00A05F9E"/>
    <w:rsid w:val="00A06601"/>
    <w:rsid w:val="00A14EEC"/>
    <w:rsid w:val="00A15459"/>
    <w:rsid w:val="00A16B77"/>
    <w:rsid w:val="00A32091"/>
    <w:rsid w:val="00A3362B"/>
    <w:rsid w:val="00A34F36"/>
    <w:rsid w:val="00A36197"/>
    <w:rsid w:val="00A3716F"/>
    <w:rsid w:val="00A4038E"/>
    <w:rsid w:val="00A4143B"/>
    <w:rsid w:val="00A415C2"/>
    <w:rsid w:val="00A46894"/>
    <w:rsid w:val="00A51BDB"/>
    <w:rsid w:val="00A55B8E"/>
    <w:rsid w:val="00A61CBE"/>
    <w:rsid w:val="00A70B7E"/>
    <w:rsid w:val="00A71A7D"/>
    <w:rsid w:val="00A75125"/>
    <w:rsid w:val="00A7794A"/>
    <w:rsid w:val="00A8228A"/>
    <w:rsid w:val="00A825F2"/>
    <w:rsid w:val="00A925FF"/>
    <w:rsid w:val="00A95591"/>
    <w:rsid w:val="00AA11A7"/>
    <w:rsid w:val="00AA24F5"/>
    <w:rsid w:val="00AA36EB"/>
    <w:rsid w:val="00AA5C9D"/>
    <w:rsid w:val="00AA64BA"/>
    <w:rsid w:val="00AA6B97"/>
    <w:rsid w:val="00AA7E09"/>
    <w:rsid w:val="00AB1C9A"/>
    <w:rsid w:val="00AB41BC"/>
    <w:rsid w:val="00AC722B"/>
    <w:rsid w:val="00AD0D2C"/>
    <w:rsid w:val="00AD3AFA"/>
    <w:rsid w:val="00AD4410"/>
    <w:rsid w:val="00AD5FE6"/>
    <w:rsid w:val="00AE44D0"/>
    <w:rsid w:val="00AE750B"/>
    <w:rsid w:val="00AF2D9E"/>
    <w:rsid w:val="00AF7D10"/>
    <w:rsid w:val="00B02435"/>
    <w:rsid w:val="00B07BEA"/>
    <w:rsid w:val="00B16766"/>
    <w:rsid w:val="00B178A5"/>
    <w:rsid w:val="00B2411B"/>
    <w:rsid w:val="00B24983"/>
    <w:rsid w:val="00B24C00"/>
    <w:rsid w:val="00B25ADB"/>
    <w:rsid w:val="00B312BC"/>
    <w:rsid w:val="00B32A60"/>
    <w:rsid w:val="00B341C3"/>
    <w:rsid w:val="00B3471E"/>
    <w:rsid w:val="00B34C5E"/>
    <w:rsid w:val="00B3502E"/>
    <w:rsid w:val="00B4303C"/>
    <w:rsid w:val="00B510AE"/>
    <w:rsid w:val="00B539A4"/>
    <w:rsid w:val="00B542CC"/>
    <w:rsid w:val="00B63C47"/>
    <w:rsid w:val="00B660FA"/>
    <w:rsid w:val="00B6791A"/>
    <w:rsid w:val="00B7162F"/>
    <w:rsid w:val="00B71ED9"/>
    <w:rsid w:val="00B731CD"/>
    <w:rsid w:val="00B74156"/>
    <w:rsid w:val="00B769E7"/>
    <w:rsid w:val="00B80C2F"/>
    <w:rsid w:val="00B858E8"/>
    <w:rsid w:val="00B85ACD"/>
    <w:rsid w:val="00B86CF3"/>
    <w:rsid w:val="00B93601"/>
    <w:rsid w:val="00B96388"/>
    <w:rsid w:val="00BA0010"/>
    <w:rsid w:val="00BA36C8"/>
    <w:rsid w:val="00BB7CCC"/>
    <w:rsid w:val="00BC3802"/>
    <w:rsid w:val="00BD380A"/>
    <w:rsid w:val="00BD75C7"/>
    <w:rsid w:val="00BE1159"/>
    <w:rsid w:val="00BF3EE3"/>
    <w:rsid w:val="00BF4AB2"/>
    <w:rsid w:val="00C01C52"/>
    <w:rsid w:val="00C043D4"/>
    <w:rsid w:val="00C16635"/>
    <w:rsid w:val="00C2268F"/>
    <w:rsid w:val="00C232C4"/>
    <w:rsid w:val="00C247EC"/>
    <w:rsid w:val="00C42D23"/>
    <w:rsid w:val="00C52CE2"/>
    <w:rsid w:val="00C67BA0"/>
    <w:rsid w:val="00C766BB"/>
    <w:rsid w:val="00C83A31"/>
    <w:rsid w:val="00C92EB1"/>
    <w:rsid w:val="00CB3577"/>
    <w:rsid w:val="00CC3E3A"/>
    <w:rsid w:val="00CC4E69"/>
    <w:rsid w:val="00CC73E6"/>
    <w:rsid w:val="00CD5C16"/>
    <w:rsid w:val="00CE0A94"/>
    <w:rsid w:val="00CF5325"/>
    <w:rsid w:val="00CF5533"/>
    <w:rsid w:val="00D05B6C"/>
    <w:rsid w:val="00D1581D"/>
    <w:rsid w:val="00D22572"/>
    <w:rsid w:val="00D22AB4"/>
    <w:rsid w:val="00D24C58"/>
    <w:rsid w:val="00D2708E"/>
    <w:rsid w:val="00D30237"/>
    <w:rsid w:val="00D3413B"/>
    <w:rsid w:val="00D36026"/>
    <w:rsid w:val="00D412DC"/>
    <w:rsid w:val="00D537BC"/>
    <w:rsid w:val="00D563B3"/>
    <w:rsid w:val="00D56B1A"/>
    <w:rsid w:val="00D62502"/>
    <w:rsid w:val="00D6332D"/>
    <w:rsid w:val="00D71DFD"/>
    <w:rsid w:val="00D73592"/>
    <w:rsid w:val="00D73AAD"/>
    <w:rsid w:val="00D741F8"/>
    <w:rsid w:val="00D81E3A"/>
    <w:rsid w:val="00D85CAA"/>
    <w:rsid w:val="00D90BB3"/>
    <w:rsid w:val="00D93345"/>
    <w:rsid w:val="00D95215"/>
    <w:rsid w:val="00D97B77"/>
    <w:rsid w:val="00DA2514"/>
    <w:rsid w:val="00DA39F9"/>
    <w:rsid w:val="00DA3F2C"/>
    <w:rsid w:val="00DA7D24"/>
    <w:rsid w:val="00DB23C4"/>
    <w:rsid w:val="00DB2C98"/>
    <w:rsid w:val="00DB51B8"/>
    <w:rsid w:val="00DB76FA"/>
    <w:rsid w:val="00DC1A13"/>
    <w:rsid w:val="00DC2CCF"/>
    <w:rsid w:val="00DD3581"/>
    <w:rsid w:val="00DD7262"/>
    <w:rsid w:val="00DE5D5F"/>
    <w:rsid w:val="00DE7FCB"/>
    <w:rsid w:val="00DF0D06"/>
    <w:rsid w:val="00DF1548"/>
    <w:rsid w:val="00DF200C"/>
    <w:rsid w:val="00DF27F2"/>
    <w:rsid w:val="00DF31A8"/>
    <w:rsid w:val="00DF3787"/>
    <w:rsid w:val="00E01451"/>
    <w:rsid w:val="00E03628"/>
    <w:rsid w:val="00E151A6"/>
    <w:rsid w:val="00E201AB"/>
    <w:rsid w:val="00E2645D"/>
    <w:rsid w:val="00E3268B"/>
    <w:rsid w:val="00E33B8C"/>
    <w:rsid w:val="00E33E30"/>
    <w:rsid w:val="00E34869"/>
    <w:rsid w:val="00E3786E"/>
    <w:rsid w:val="00E41039"/>
    <w:rsid w:val="00E4122D"/>
    <w:rsid w:val="00E4465D"/>
    <w:rsid w:val="00E50213"/>
    <w:rsid w:val="00E53DCC"/>
    <w:rsid w:val="00E62A22"/>
    <w:rsid w:val="00E70392"/>
    <w:rsid w:val="00E72A64"/>
    <w:rsid w:val="00E74662"/>
    <w:rsid w:val="00E77CDB"/>
    <w:rsid w:val="00E82161"/>
    <w:rsid w:val="00E840EE"/>
    <w:rsid w:val="00E8502E"/>
    <w:rsid w:val="00E9596A"/>
    <w:rsid w:val="00EC3E59"/>
    <w:rsid w:val="00EC5A01"/>
    <w:rsid w:val="00EC5A06"/>
    <w:rsid w:val="00EC5C23"/>
    <w:rsid w:val="00EC6A05"/>
    <w:rsid w:val="00EC75F6"/>
    <w:rsid w:val="00ED0380"/>
    <w:rsid w:val="00ED04F9"/>
    <w:rsid w:val="00ED7076"/>
    <w:rsid w:val="00EE0021"/>
    <w:rsid w:val="00EE09FF"/>
    <w:rsid w:val="00EE2708"/>
    <w:rsid w:val="00EE3623"/>
    <w:rsid w:val="00EE5FB4"/>
    <w:rsid w:val="00EF7832"/>
    <w:rsid w:val="00F033D0"/>
    <w:rsid w:val="00F05C93"/>
    <w:rsid w:val="00F05E90"/>
    <w:rsid w:val="00F07890"/>
    <w:rsid w:val="00F1138A"/>
    <w:rsid w:val="00F1410D"/>
    <w:rsid w:val="00F149F7"/>
    <w:rsid w:val="00F14A3C"/>
    <w:rsid w:val="00F15500"/>
    <w:rsid w:val="00F20A3B"/>
    <w:rsid w:val="00F2235F"/>
    <w:rsid w:val="00F23EB6"/>
    <w:rsid w:val="00F2473E"/>
    <w:rsid w:val="00F25E9E"/>
    <w:rsid w:val="00F32CB3"/>
    <w:rsid w:val="00F443BD"/>
    <w:rsid w:val="00F45127"/>
    <w:rsid w:val="00F5018F"/>
    <w:rsid w:val="00F504BD"/>
    <w:rsid w:val="00F5165D"/>
    <w:rsid w:val="00F53C3C"/>
    <w:rsid w:val="00F54421"/>
    <w:rsid w:val="00F56A1F"/>
    <w:rsid w:val="00F62091"/>
    <w:rsid w:val="00F660EF"/>
    <w:rsid w:val="00F73690"/>
    <w:rsid w:val="00F738B9"/>
    <w:rsid w:val="00F775F9"/>
    <w:rsid w:val="00F81A15"/>
    <w:rsid w:val="00F85B0F"/>
    <w:rsid w:val="00FB4B88"/>
    <w:rsid w:val="00FB77CD"/>
    <w:rsid w:val="00FC2CB7"/>
    <w:rsid w:val="00FC5A91"/>
    <w:rsid w:val="00FC6703"/>
    <w:rsid w:val="00FE57DD"/>
    <w:rsid w:val="00FE723B"/>
    <w:rsid w:val="00FE777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1.xml"/><Relationship Id="rId21" Type="http://schemas.openxmlformats.org/officeDocument/2006/relationships/image" Target="media/image15.emf"/><Relationship Id="rId34" Type="http://schemas.openxmlformats.org/officeDocument/2006/relationships/image" Target="media/image2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2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28.jpe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yperlink" Target="https://www.banxico.org.mx/publicaciones-y-prensa/resumenes-visuales/informe-trimestral-html/informe-trimestral-jul-sep-.html" TargetMode="External"/><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yperlink" Target="https://www.banxico.org.mx/publicaciones-y-prensa/resumenes-visuales/informe-trimestral-html/informe-trimestral-jul-sep-.htm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1C42-A723-4FAF-ADF7-A3098D8B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5055</Words>
  <Characters>27804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Maria Montserrat Terrazas Medina</cp:lastModifiedBy>
  <cp:revision>5</cp:revision>
  <cp:lastPrinted>2022-02-10T21:56:00Z</cp:lastPrinted>
  <dcterms:created xsi:type="dcterms:W3CDTF">2022-02-15T17:04:00Z</dcterms:created>
  <dcterms:modified xsi:type="dcterms:W3CDTF">2022-03-03T19:20:00Z</dcterms:modified>
</cp:coreProperties>
</file>